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FF39F" w14:textId="77777777" w:rsidR="00D32861" w:rsidRDefault="00D32861" w:rsidP="00722EF8">
      <w:pPr>
        <w:spacing w:after="0" w:line="240" w:lineRule="auto"/>
        <w:rPr>
          <w:rFonts w:ascii="Times New Roman" w:eastAsia="Aptos" w:hAnsi="Times New Roman" w:cs="Times New Roman"/>
        </w:rPr>
      </w:pPr>
    </w:p>
    <w:p w14:paraId="61973588" w14:textId="093B62F5" w:rsidR="00722EF8" w:rsidRPr="00722EF8" w:rsidRDefault="00722EF8" w:rsidP="00722EF8">
      <w:pPr>
        <w:spacing w:after="0" w:line="240" w:lineRule="auto"/>
        <w:rPr>
          <w:rFonts w:ascii="Times New Roman" w:eastAsia="Aptos" w:hAnsi="Times New Roman" w:cs="Times New Roman"/>
        </w:rPr>
      </w:pPr>
      <w:r w:rsidRPr="00722EF8">
        <w:rPr>
          <w:rFonts w:ascii="Times New Roman" w:eastAsia="Aptos" w:hAnsi="Times New Roman" w:cs="Times New Roman"/>
        </w:rPr>
        <w:t>May 1</w:t>
      </w:r>
      <w:r w:rsidR="00AC2C96">
        <w:rPr>
          <w:rFonts w:ascii="Times New Roman" w:eastAsia="Aptos" w:hAnsi="Times New Roman" w:cs="Times New Roman"/>
        </w:rPr>
        <w:t>6</w:t>
      </w:r>
      <w:r w:rsidRPr="00722EF8">
        <w:rPr>
          <w:rFonts w:ascii="Times New Roman" w:eastAsia="Aptos" w:hAnsi="Times New Roman" w:cs="Times New Roman"/>
        </w:rPr>
        <w:t>, 2024</w:t>
      </w:r>
    </w:p>
    <w:p w14:paraId="00ED7E6C" w14:textId="77777777" w:rsidR="00722EF8" w:rsidRPr="00722EF8" w:rsidRDefault="00722EF8" w:rsidP="00722EF8">
      <w:pPr>
        <w:spacing w:after="0" w:line="240" w:lineRule="auto"/>
        <w:rPr>
          <w:rFonts w:ascii="Times New Roman" w:eastAsia="Aptos" w:hAnsi="Times New Roman" w:cs="Times New Roman"/>
        </w:rPr>
      </w:pPr>
    </w:p>
    <w:p w14:paraId="3217AACF" w14:textId="77777777" w:rsidR="00722EF8" w:rsidRPr="00722EF8" w:rsidRDefault="00722EF8" w:rsidP="00722EF8">
      <w:pPr>
        <w:spacing w:after="0" w:line="240" w:lineRule="auto"/>
        <w:rPr>
          <w:rFonts w:ascii="Times New Roman" w:eastAsia="Aptos" w:hAnsi="Times New Roman" w:cs="Times New Roman"/>
        </w:rPr>
      </w:pPr>
      <w:r w:rsidRPr="00722EF8">
        <w:rPr>
          <w:rFonts w:ascii="Times New Roman" w:eastAsia="Aptos" w:hAnsi="Times New Roman" w:cs="Times New Roman"/>
        </w:rPr>
        <w:t>The Honorable Patrick McHenry</w:t>
      </w:r>
    </w:p>
    <w:p w14:paraId="51009C2B" w14:textId="77777777" w:rsidR="00722EF8" w:rsidRPr="00722EF8" w:rsidRDefault="00722EF8" w:rsidP="00722EF8">
      <w:pPr>
        <w:spacing w:after="0" w:line="240" w:lineRule="auto"/>
        <w:rPr>
          <w:rFonts w:ascii="Times New Roman" w:eastAsia="Aptos" w:hAnsi="Times New Roman" w:cs="Times New Roman"/>
        </w:rPr>
      </w:pPr>
      <w:r w:rsidRPr="00722EF8">
        <w:rPr>
          <w:rFonts w:ascii="Times New Roman" w:eastAsia="Aptos" w:hAnsi="Times New Roman" w:cs="Times New Roman"/>
        </w:rPr>
        <w:t>Chair</w:t>
      </w:r>
    </w:p>
    <w:p w14:paraId="1F740237" w14:textId="77777777" w:rsidR="00722EF8" w:rsidRPr="00722EF8" w:rsidRDefault="00722EF8" w:rsidP="00722EF8">
      <w:pPr>
        <w:spacing w:after="0" w:line="240" w:lineRule="auto"/>
        <w:rPr>
          <w:rFonts w:ascii="Times New Roman" w:eastAsia="Aptos" w:hAnsi="Times New Roman" w:cs="Times New Roman"/>
        </w:rPr>
      </w:pPr>
      <w:r w:rsidRPr="00722EF8">
        <w:rPr>
          <w:rFonts w:ascii="Times New Roman" w:eastAsia="Aptos" w:hAnsi="Times New Roman" w:cs="Times New Roman"/>
        </w:rPr>
        <w:t>U.S. House Committee on Financial Services</w:t>
      </w:r>
    </w:p>
    <w:p w14:paraId="4085B905" w14:textId="77777777" w:rsidR="00722EF8" w:rsidRPr="00722EF8" w:rsidRDefault="00722EF8" w:rsidP="00722EF8">
      <w:pPr>
        <w:spacing w:after="0" w:line="240" w:lineRule="auto"/>
        <w:rPr>
          <w:rFonts w:ascii="Times New Roman" w:eastAsia="Aptos" w:hAnsi="Times New Roman" w:cs="Times New Roman"/>
        </w:rPr>
      </w:pPr>
      <w:r w:rsidRPr="00722EF8">
        <w:rPr>
          <w:rFonts w:ascii="Times New Roman" w:eastAsia="Aptos" w:hAnsi="Times New Roman" w:cs="Times New Roman"/>
        </w:rPr>
        <w:t>2129 Rayburn House Office Building</w:t>
      </w:r>
    </w:p>
    <w:p w14:paraId="6517C1C4" w14:textId="77777777" w:rsidR="00722EF8" w:rsidRPr="00722EF8" w:rsidRDefault="00722EF8" w:rsidP="00722EF8">
      <w:pPr>
        <w:spacing w:after="0" w:line="240" w:lineRule="auto"/>
        <w:rPr>
          <w:rFonts w:ascii="Times New Roman" w:eastAsia="Aptos" w:hAnsi="Times New Roman" w:cs="Times New Roman"/>
        </w:rPr>
      </w:pPr>
      <w:r w:rsidRPr="00722EF8">
        <w:rPr>
          <w:rFonts w:ascii="Times New Roman" w:eastAsia="Aptos" w:hAnsi="Times New Roman" w:cs="Times New Roman"/>
        </w:rPr>
        <w:t>Washington, DC 20515</w:t>
      </w:r>
    </w:p>
    <w:p w14:paraId="5B716AF2" w14:textId="77777777" w:rsidR="00722EF8" w:rsidRPr="00722EF8" w:rsidRDefault="00722EF8" w:rsidP="00722EF8">
      <w:pPr>
        <w:spacing w:after="0" w:line="240" w:lineRule="auto"/>
        <w:rPr>
          <w:rFonts w:ascii="Times New Roman" w:eastAsia="Aptos" w:hAnsi="Times New Roman" w:cs="Times New Roman"/>
        </w:rPr>
      </w:pPr>
    </w:p>
    <w:p w14:paraId="2920B196" w14:textId="77777777" w:rsidR="00722EF8" w:rsidRPr="00722EF8" w:rsidRDefault="00722EF8" w:rsidP="00722EF8">
      <w:pPr>
        <w:spacing w:after="0" w:line="240" w:lineRule="auto"/>
        <w:rPr>
          <w:rFonts w:ascii="Times New Roman" w:eastAsia="Aptos" w:hAnsi="Times New Roman" w:cs="Times New Roman"/>
        </w:rPr>
      </w:pPr>
      <w:r w:rsidRPr="00722EF8">
        <w:rPr>
          <w:rFonts w:ascii="Times New Roman" w:eastAsia="Aptos" w:hAnsi="Times New Roman" w:cs="Times New Roman"/>
        </w:rPr>
        <w:t>The Honorable Maxine Waters</w:t>
      </w:r>
    </w:p>
    <w:p w14:paraId="6649A201" w14:textId="77777777" w:rsidR="00722EF8" w:rsidRPr="00722EF8" w:rsidRDefault="00722EF8" w:rsidP="00722EF8">
      <w:pPr>
        <w:spacing w:after="0" w:line="240" w:lineRule="auto"/>
        <w:rPr>
          <w:rFonts w:ascii="Times New Roman" w:eastAsia="Aptos" w:hAnsi="Times New Roman" w:cs="Times New Roman"/>
        </w:rPr>
      </w:pPr>
      <w:r w:rsidRPr="00722EF8">
        <w:rPr>
          <w:rFonts w:ascii="Times New Roman" w:eastAsia="Aptos" w:hAnsi="Times New Roman" w:cs="Times New Roman"/>
        </w:rPr>
        <w:t>Ranking Member</w:t>
      </w:r>
    </w:p>
    <w:p w14:paraId="31D8EA63" w14:textId="77777777" w:rsidR="00722EF8" w:rsidRPr="00722EF8" w:rsidRDefault="00722EF8" w:rsidP="00722EF8">
      <w:pPr>
        <w:spacing w:after="0" w:line="240" w:lineRule="auto"/>
        <w:rPr>
          <w:rFonts w:ascii="Times New Roman" w:eastAsia="Aptos" w:hAnsi="Times New Roman" w:cs="Times New Roman"/>
        </w:rPr>
      </w:pPr>
      <w:r w:rsidRPr="00722EF8">
        <w:rPr>
          <w:rFonts w:ascii="Times New Roman" w:eastAsia="Aptos" w:hAnsi="Times New Roman" w:cs="Times New Roman"/>
        </w:rPr>
        <w:t>U.S. House Committee on Financial Services</w:t>
      </w:r>
    </w:p>
    <w:p w14:paraId="69A4B2A0" w14:textId="77777777" w:rsidR="00722EF8" w:rsidRPr="00722EF8" w:rsidRDefault="00722EF8" w:rsidP="00722EF8">
      <w:pPr>
        <w:spacing w:after="0" w:line="240" w:lineRule="auto"/>
        <w:rPr>
          <w:rFonts w:ascii="Times New Roman" w:eastAsia="Aptos" w:hAnsi="Times New Roman" w:cs="Times New Roman"/>
        </w:rPr>
      </w:pPr>
      <w:r w:rsidRPr="00722EF8">
        <w:rPr>
          <w:rFonts w:ascii="Times New Roman" w:eastAsia="Aptos" w:hAnsi="Times New Roman" w:cs="Times New Roman"/>
        </w:rPr>
        <w:t>4340 O’Neill House Office Building</w:t>
      </w:r>
    </w:p>
    <w:p w14:paraId="6E659C15" w14:textId="77777777" w:rsidR="00722EF8" w:rsidRPr="00722EF8" w:rsidRDefault="00722EF8" w:rsidP="00722EF8">
      <w:pPr>
        <w:spacing w:after="0" w:line="240" w:lineRule="auto"/>
        <w:rPr>
          <w:rFonts w:ascii="Times New Roman" w:eastAsia="Aptos" w:hAnsi="Times New Roman" w:cs="Times New Roman"/>
        </w:rPr>
      </w:pPr>
      <w:r w:rsidRPr="00722EF8">
        <w:rPr>
          <w:rFonts w:ascii="Times New Roman" w:eastAsia="Aptos" w:hAnsi="Times New Roman" w:cs="Times New Roman"/>
        </w:rPr>
        <w:t>Washington, DC 20024</w:t>
      </w:r>
    </w:p>
    <w:p w14:paraId="4B21CA6A" w14:textId="77777777" w:rsidR="00722EF8" w:rsidRPr="00722EF8" w:rsidRDefault="00722EF8" w:rsidP="00722EF8">
      <w:pPr>
        <w:spacing w:after="0" w:line="240" w:lineRule="auto"/>
        <w:rPr>
          <w:rFonts w:ascii="Times New Roman" w:eastAsia="Aptos" w:hAnsi="Times New Roman" w:cs="Times New Roman"/>
        </w:rPr>
      </w:pPr>
    </w:p>
    <w:p w14:paraId="6A5F16DA" w14:textId="3AF75F0F" w:rsidR="00722EF8" w:rsidRPr="00722EF8" w:rsidRDefault="005F73BC" w:rsidP="00722EF8">
      <w:pPr>
        <w:spacing w:after="0" w:line="240" w:lineRule="auto"/>
        <w:rPr>
          <w:rFonts w:ascii="Times New Roman" w:eastAsia="Aptos" w:hAnsi="Times New Roman" w:cs="Times New Roman"/>
        </w:rPr>
      </w:pPr>
      <w:r>
        <w:rPr>
          <w:rFonts w:ascii="Times New Roman" w:eastAsia="Aptos" w:hAnsi="Times New Roman" w:cs="Times New Roman"/>
        </w:rPr>
        <w:t>Dear Chairman McHenry and Ranking Member Waters</w:t>
      </w:r>
      <w:r w:rsidR="00E06BCF">
        <w:rPr>
          <w:rFonts w:ascii="Times New Roman" w:eastAsia="Aptos" w:hAnsi="Times New Roman" w:cs="Times New Roman"/>
        </w:rPr>
        <w:t>:</w:t>
      </w:r>
    </w:p>
    <w:p w14:paraId="5CFC9AEF" w14:textId="77777777" w:rsidR="00722EF8" w:rsidRPr="00722EF8" w:rsidRDefault="00722EF8" w:rsidP="00722EF8">
      <w:pPr>
        <w:spacing w:after="0" w:line="240" w:lineRule="auto"/>
        <w:rPr>
          <w:rFonts w:ascii="Times New Roman" w:eastAsia="Aptos" w:hAnsi="Times New Roman" w:cs="Times New Roman"/>
        </w:rPr>
      </w:pPr>
    </w:p>
    <w:p w14:paraId="38DEA72F" w14:textId="77777777" w:rsidR="00E06BCF" w:rsidRDefault="00722EF8" w:rsidP="00722EF8">
      <w:pPr>
        <w:spacing w:after="0" w:line="240" w:lineRule="auto"/>
        <w:rPr>
          <w:rFonts w:ascii="Times New Roman" w:eastAsia="Aptos" w:hAnsi="Times New Roman" w:cs="Times New Roman"/>
        </w:rPr>
      </w:pPr>
      <w:r w:rsidRPr="00722EF8">
        <w:rPr>
          <w:rFonts w:ascii="Times New Roman" w:eastAsia="Aptos" w:hAnsi="Times New Roman" w:cs="Times New Roman"/>
        </w:rPr>
        <w:t xml:space="preserve">Americans for Financial Reform (AFR) writes to express strong opposition to legislation that the House Financial Services Committee (HFSC) is scheduled to consider this week that </w:t>
      </w:r>
      <w:r w:rsidR="00BF231D">
        <w:rPr>
          <w:rFonts w:ascii="Times New Roman" w:eastAsia="Aptos" w:hAnsi="Times New Roman" w:cs="Times New Roman"/>
        </w:rPr>
        <w:t>would</w:t>
      </w:r>
      <w:r w:rsidRPr="00722EF8">
        <w:rPr>
          <w:rFonts w:ascii="Times New Roman" w:eastAsia="Aptos" w:hAnsi="Times New Roman" w:cs="Times New Roman"/>
        </w:rPr>
        <w:t xml:space="preserve"> amend the federal securities laws in ways that could be profoundly damaging to American workers and “mom and pop” investors</w:t>
      </w:r>
      <w:r w:rsidR="00BF231D" w:rsidRPr="00722EF8">
        <w:rPr>
          <w:rFonts w:ascii="Times New Roman" w:eastAsia="Aptos" w:hAnsi="Times New Roman" w:cs="Times New Roman"/>
        </w:rPr>
        <w:t xml:space="preserve">. </w:t>
      </w:r>
    </w:p>
    <w:p w14:paraId="036417F4" w14:textId="77777777" w:rsidR="00E06BCF" w:rsidRDefault="00E06BCF" w:rsidP="00722EF8">
      <w:pPr>
        <w:spacing w:after="0" w:line="240" w:lineRule="auto"/>
        <w:rPr>
          <w:rFonts w:ascii="Times New Roman" w:eastAsia="Aptos" w:hAnsi="Times New Roman" w:cs="Times New Roman"/>
        </w:rPr>
      </w:pPr>
    </w:p>
    <w:p w14:paraId="61D0B8AF" w14:textId="608FDD35" w:rsidR="00722EF8" w:rsidRPr="00722EF8" w:rsidRDefault="00BF231D" w:rsidP="00722EF8">
      <w:pPr>
        <w:spacing w:after="0" w:line="240" w:lineRule="auto"/>
        <w:rPr>
          <w:rFonts w:ascii="Times New Roman" w:eastAsia="Aptos" w:hAnsi="Times New Roman" w:cs="Times New Roman"/>
        </w:rPr>
      </w:pPr>
      <w:r>
        <w:rPr>
          <w:rFonts w:ascii="Times New Roman" w:eastAsia="Aptos" w:hAnsi="Times New Roman" w:cs="Times New Roman"/>
        </w:rPr>
        <w:t>AFR is</w:t>
      </w:r>
      <w:r w:rsidR="00722EF8" w:rsidRPr="00722EF8">
        <w:rPr>
          <w:rFonts w:ascii="Times New Roman" w:eastAsia="Aptos" w:hAnsi="Times New Roman" w:cs="Times New Roman"/>
        </w:rPr>
        <w:t xml:space="preserve"> particularly alarmed by proposals to intentionally overburden the Securities and Exchange Commission (SEC) with a </w:t>
      </w:r>
      <w:r w:rsidR="00297F4D">
        <w:rPr>
          <w:rFonts w:ascii="Times New Roman" w:eastAsia="Aptos" w:hAnsi="Times New Roman" w:cs="Times New Roman"/>
        </w:rPr>
        <w:t xml:space="preserve">set </w:t>
      </w:r>
      <w:r w:rsidR="00722EF8" w:rsidRPr="00722EF8">
        <w:rPr>
          <w:rFonts w:ascii="Times New Roman" w:eastAsia="Aptos" w:hAnsi="Times New Roman" w:cs="Times New Roman"/>
        </w:rPr>
        <w:t>of administrative and analytical requirements that will make it difficult and at times</w:t>
      </w:r>
      <w:r w:rsidR="00D94A91">
        <w:rPr>
          <w:rFonts w:ascii="Times New Roman" w:eastAsia="Aptos" w:hAnsi="Times New Roman" w:cs="Times New Roman"/>
        </w:rPr>
        <w:t xml:space="preserve"> </w:t>
      </w:r>
      <w:r w:rsidR="00706D83">
        <w:rPr>
          <w:rFonts w:ascii="Times New Roman" w:eastAsia="Aptos" w:hAnsi="Times New Roman" w:cs="Times New Roman"/>
        </w:rPr>
        <w:t>impossible</w:t>
      </w:r>
      <w:r w:rsidR="00722EF8" w:rsidRPr="00722EF8">
        <w:rPr>
          <w:rFonts w:ascii="Times New Roman" w:eastAsia="Aptos" w:hAnsi="Times New Roman" w:cs="Times New Roman"/>
        </w:rPr>
        <w:t xml:space="preserve"> to protect the investing public and perform its mandate.</w:t>
      </w:r>
      <w:r w:rsidR="00722EF8" w:rsidRPr="00722EF8">
        <w:rPr>
          <w:rFonts w:ascii="Times New Roman" w:eastAsia="Aptos" w:hAnsi="Times New Roman" w:cs="Times New Roman"/>
          <w:vertAlign w:val="superscript"/>
        </w:rPr>
        <w:footnoteReference w:id="1"/>
      </w:r>
      <w:r w:rsidR="00722EF8" w:rsidRPr="00722EF8">
        <w:rPr>
          <w:rFonts w:ascii="Times New Roman" w:eastAsia="Aptos" w:hAnsi="Times New Roman" w:cs="Times New Roman"/>
        </w:rPr>
        <w:t xml:space="preserve">  </w:t>
      </w:r>
    </w:p>
    <w:p w14:paraId="1F4A0710" w14:textId="77777777" w:rsidR="00722EF8" w:rsidRPr="00722EF8" w:rsidRDefault="00722EF8" w:rsidP="00722EF8">
      <w:pPr>
        <w:spacing w:after="0" w:line="240" w:lineRule="auto"/>
        <w:rPr>
          <w:rFonts w:ascii="Times New Roman" w:eastAsia="Aptos" w:hAnsi="Times New Roman" w:cs="Times New Roman"/>
        </w:rPr>
      </w:pPr>
    </w:p>
    <w:p w14:paraId="75FDC375" w14:textId="57A64D2A" w:rsidR="00722EF8" w:rsidRPr="00722EF8" w:rsidRDefault="00722EF8" w:rsidP="00722EF8">
      <w:pPr>
        <w:spacing w:after="0" w:line="240" w:lineRule="auto"/>
        <w:rPr>
          <w:rFonts w:ascii="Times New Roman" w:eastAsia="Aptos" w:hAnsi="Times New Roman" w:cs="Times New Roman"/>
        </w:rPr>
      </w:pPr>
      <w:r w:rsidRPr="00722EF8">
        <w:rPr>
          <w:rFonts w:ascii="Times New Roman" w:eastAsia="Aptos" w:hAnsi="Times New Roman" w:cs="Times New Roman"/>
        </w:rPr>
        <w:t xml:space="preserve">To that end, AFR urges members to vote against, </w:t>
      </w:r>
      <w:r w:rsidR="00E06BCF">
        <w:rPr>
          <w:rFonts w:ascii="Times New Roman" w:eastAsia="Aptos" w:hAnsi="Times New Roman" w:cs="Times New Roman"/>
        </w:rPr>
        <w:t xml:space="preserve">and </w:t>
      </w:r>
      <w:r w:rsidRPr="00722EF8">
        <w:rPr>
          <w:rFonts w:ascii="Times New Roman" w:eastAsia="Aptos" w:hAnsi="Times New Roman" w:cs="Times New Roman"/>
        </w:rPr>
        <w:t>decisively reject, the following legislation.</w:t>
      </w:r>
    </w:p>
    <w:p w14:paraId="234046C2" w14:textId="77777777" w:rsidR="00722EF8" w:rsidRPr="00722EF8" w:rsidRDefault="00722EF8" w:rsidP="00722EF8">
      <w:pPr>
        <w:spacing w:after="0" w:line="240" w:lineRule="auto"/>
        <w:rPr>
          <w:rFonts w:ascii="Times New Roman" w:eastAsia="Aptos" w:hAnsi="Times New Roman" w:cs="Times New Roman"/>
        </w:rPr>
      </w:pPr>
    </w:p>
    <w:p w14:paraId="73E73FA3" w14:textId="3FB23438" w:rsidR="00722EF8" w:rsidRPr="00BF231D" w:rsidRDefault="00722EF8" w:rsidP="00722EF8">
      <w:pPr>
        <w:numPr>
          <w:ilvl w:val="0"/>
          <w:numId w:val="2"/>
        </w:numPr>
        <w:spacing w:after="0" w:line="240" w:lineRule="auto"/>
        <w:contextualSpacing/>
        <w:rPr>
          <w:rFonts w:ascii="Times New Roman" w:eastAsia="Aptos" w:hAnsi="Times New Roman" w:cs="Times New Roman"/>
        </w:rPr>
      </w:pPr>
      <w:r w:rsidRPr="00722EF8">
        <w:rPr>
          <w:rFonts w:ascii="Times New Roman" w:eastAsia="Aptos" w:hAnsi="Times New Roman" w:cs="Times New Roman"/>
        </w:rPr>
        <w:t>H.R. 8339, The SEC Reform and Restructuring Act</w:t>
      </w:r>
    </w:p>
    <w:p w14:paraId="284BF8D7" w14:textId="77777777" w:rsidR="00BF231D" w:rsidRPr="00722EF8" w:rsidRDefault="00BF231D" w:rsidP="00BF231D">
      <w:pPr>
        <w:spacing w:after="0" w:line="240" w:lineRule="auto"/>
        <w:ind w:left="720"/>
        <w:contextualSpacing/>
        <w:rPr>
          <w:rFonts w:ascii="Times New Roman" w:eastAsia="Aptos" w:hAnsi="Times New Roman" w:cs="Times New Roman"/>
        </w:rPr>
      </w:pPr>
    </w:p>
    <w:p w14:paraId="09815524" w14:textId="77777777" w:rsidR="00722EF8" w:rsidRDefault="00722EF8" w:rsidP="00722EF8">
      <w:pPr>
        <w:numPr>
          <w:ilvl w:val="0"/>
          <w:numId w:val="2"/>
        </w:numPr>
        <w:spacing w:after="0" w:line="240" w:lineRule="auto"/>
        <w:contextualSpacing/>
        <w:rPr>
          <w:rFonts w:ascii="Times New Roman" w:eastAsia="Aptos" w:hAnsi="Times New Roman" w:cs="Times New Roman"/>
        </w:rPr>
      </w:pPr>
      <w:r w:rsidRPr="00722EF8">
        <w:rPr>
          <w:rFonts w:ascii="Times New Roman" w:eastAsia="Aptos" w:hAnsi="Times New Roman" w:cs="Times New Roman"/>
        </w:rPr>
        <w:t>H.J. Res 100, Providing for congressional disapproval of the rule submitted by the Securities and Exchange Commission relating to Cybersecurity Risk Management, Strategy, Governance, and Incident Disclosure</w:t>
      </w:r>
    </w:p>
    <w:p w14:paraId="6C0AC3A3" w14:textId="77777777" w:rsidR="00722EF8" w:rsidRPr="00722EF8" w:rsidRDefault="00722EF8" w:rsidP="00BF231D">
      <w:pPr>
        <w:spacing w:after="0" w:line="240" w:lineRule="auto"/>
        <w:ind w:left="720"/>
        <w:contextualSpacing/>
        <w:rPr>
          <w:rFonts w:ascii="Times New Roman" w:eastAsia="Aptos" w:hAnsi="Times New Roman" w:cs="Times New Roman"/>
        </w:rPr>
      </w:pPr>
    </w:p>
    <w:p w14:paraId="41AC028C" w14:textId="77777777" w:rsidR="00722EF8" w:rsidRPr="00722EF8" w:rsidRDefault="00722EF8" w:rsidP="00722EF8">
      <w:pPr>
        <w:numPr>
          <w:ilvl w:val="0"/>
          <w:numId w:val="2"/>
        </w:numPr>
        <w:spacing w:after="0" w:line="240" w:lineRule="auto"/>
        <w:contextualSpacing/>
        <w:rPr>
          <w:rFonts w:ascii="Times New Roman" w:eastAsia="Aptos" w:hAnsi="Times New Roman" w:cs="Times New Roman"/>
        </w:rPr>
      </w:pPr>
      <w:r w:rsidRPr="00722EF8">
        <w:rPr>
          <w:rFonts w:ascii="Times New Roman" w:eastAsia="Aptos" w:hAnsi="Times New Roman" w:cs="Times New Roman"/>
        </w:rPr>
        <w:t>H.R. 4551 the Protecting Investors’ Personally Identifiable Information Act</w:t>
      </w:r>
    </w:p>
    <w:p w14:paraId="4690F617" w14:textId="77777777" w:rsidR="00722EF8" w:rsidRDefault="00722EF8" w:rsidP="00427169">
      <w:pPr>
        <w:rPr>
          <w:rFonts w:ascii="Times New Roman" w:hAnsi="Times New Roman" w:cs="Times New Roman"/>
          <w:b/>
          <w:bCs/>
          <w:u w:val="single"/>
        </w:rPr>
      </w:pPr>
    </w:p>
    <w:p w14:paraId="2F5E9FD4" w14:textId="0733A8A3" w:rsidR="00B07FC6" w:rsidRPr="003731B6" w:rsidRDefault="003731B6" w:rsidP="003731B6">
      <w:pPr>
        <w:pStyle w:val="ListParagraph"/>
        <w:numPr>
          <w:ilvl w:val="0"/>
          <w:numId w:val="3"/>
        </w:numPr>
        <w:rPr>
          <w:rFonts w:ascii="Times New Roman" w:hAnsi="Times New Roman" w:cs="Times New Roman"/>
          <w:b/>
          <w:bCs/>
          <w:u w:val="single"/>
        </w:rPr>
      </w:pPr>
      <w:r w:rsidRPr="003731B6">
        <w:rPr>
          <w:rFonts w:ascii="Times New Roman" w:hAnsi="Times New Roman" w:cs="Times New Roman"/>
          <w:b/>
          <w:bCs/>
        </w:rPr>
        <w:t>T</w:t>
      </w:r>
      <w:r w:rsidR="006B7FF7" w:rsidRPr="003731B6">
        <w:rPr>
          <w:rFonts w:ascii="Times New Roman" w:hAnsi="Times New Roman" w:cs="Times New Roman"/>
          <w:b/>
          <w:bCs/>
        </w:rPr>
        <w:t xml:space="preserve">he SEC Reform </w:t>
      </w:r>
      <w:r w:rsidR="00096B9D">
        <w:rPr>
          <w:rFonts w:ascii="Times New Roman" w:hAnsi="Times New Roman" w:cs="Times New Roman"/>
          <w:b/>
          <w:bCs/>
        </w:rPr>
        <w:t>a</w:t>
      </w:r>
      <w:r w:rsidR="006B7FF7" w:rsidRPr="003731B6">
        <w:rPr>
          <w:rFonts w:ascii="Times New Roman" w:hAnsi="Times New Roman" w:cs="Times New Roman"/>
          <w:b/>
          <w:bCs/>
        </w:rPr>
        <w:t>nd Restructuring Act (H.R. 8339</w:t>
      </w:r>
      <w:r w:rsidR="006B7FF7" w:rsidRPr="003731B6">
        <w:rPr>
          <w:rFonts w:ascii="Times New Roman" w:hAnsi="Times New Roman" w:cs="Times New Roman"/>
          <w:b/>
          <w:bCs/>
          <w:u w:val="single"/>
        </w:rPr>
        <w:t>)</w:t>
      </w:r>
    </w:p>
    <w:p w14:paraId="321E3451" w14:textId="1132D98E" w:rsidR="000B156C" w:rsidRPr="00003CF8" w:rsidRDefault="00B07FC6" w:rsidP="00427169">
      <w:pPr>
        <w:rPr>
          <w:rFonts w:ascii="Times New Roman" w:hAnsi="Times New Roman" w:cs="Times New Roman"/>
        </w:rPr>
      </w:pPr>
      <w:r w:rsidRPr="00003CF8">
        <w:rPr>
          <w:rFonts w:ascii="Times New Roman" w:hAnsi="Times New Roman" w:cs="Times New Roman"/>
        </w:rPr>
        <w:t xml:space="preserve">H.R. 8339, the "SEC Reform and Restructuring Act,” </w:t>
      </w:r>
      <w:r w:rsidR="00CB6617" w:rsidRPr="00003CF8">
        <w:rPr>
          <w:rFonts w:ascii="Times New Roman" w:hAnsi="Times New Roman" w:cs="Times New Roman"/>
        </w:rPr>
        <w:t xml:space="preserve">would amend the Securities Exchange Act of 1934 (the “Exchange Act”) to require the SEC to conduct </w:t>
      </w:r>
      <w:r w:rsidR="00C507E8">
        <w:rPr>
          <w:rFonts w:ascii="Times New Roman" w:hAnsi="Times New Roman" w:cs="Times New Roman"/>
        </w:rPr>
        <w:t>a</w:t>
      </w:r>
      <w:r w:rsidR="00E5717D">
        <w:rPr>
          <w:rFonts w:ascii="Times New Roman" w:hAnsi="Times New Roman" w:cs="Times New Roman"/>
        </w:rPr>
        <w:t xml:space="preserve"> </w:t>
      </w:r>
      <w:r w:rsidR="0085517E">
        <w:rPr>
          <w:rFonts w:ascii="Times New Roman" w:hAnsi="Times New Roman" w:cs="Times New Roman"/>
        </w:rPr>
        <w:t xml:space="preserve">“consideration of costs and benefits” </w:t>
      </w:r>
      <w:r w:rsidR="00C507E8">
        <w:rPr>
          <w:rFonts w:ascii="Times New Roman" w:hAnsi="Times New Roman" w:cs="Times New Roman"/>
        </w:rPr>
        <w:t xml:space="preserve">prior to proposing a regulation, </w:t>
      </w:r>
      <w:r w:rsidR="00F52626">
        <w:rPr>
          <w:rFonts w:ascii="Times New Roman" w:hAnsi="Times New Roman" w:cs="Times New Roman"/>
        </w:rPr>
        <w:t>a</w:t>
      </w:r>
      <w:r w:rsidR="0085517E">
        <w:rPr>
          <w:rFonts w:ascii="Times New Roman" w:hAnsi="Times New Roman" w:cs="Times New Roman"/>
        </w:rPr>
        <w:t>s well</w:t>
      </w:r>
      <w:r w:rsidR="00F52626">
        <w:rPr>
          <w:rFonts w:ascii="Times New Roman" w:hAnsi="Times New Roman" w:cs="Times New Roman"/>
        </w:rPr>
        <w:t xml:space="preserve"> </w:t>
      </w:r>
      <w:r w:rsidR="0085517E">
        <w:rPr>
          <w:rFonts w:ascii="Times New Roman" w:hAnsi="Times New Roman" w:cs="Times New Roman"/>
        </w:rPr>
        <w:t>as</w:t>
      </w:r>
      <w:r w:rsidR="00F52626">
        <w:rPr>
          <w:rFonts w:ascii="Times New Roman" w:hAnsi="Times New Roman" w:cs="Times New Roman"/>
        </w:rPr>
        <w:t xml:space="preserve"> satisfy dozens of</w:t>
      </w:r>
      <w:r w:rsidR="0085517E">
        <w:rPr>
          <w:rFonts w:ascii="Times New Roman" w:hAnsi="Times New Roman" w:cs="Times New Roman"/>
        </w:rPr>
        <w:t xml:space="preserve"> new</w:t>
      </w:r>
      <w:r w:rsidR="00F52626">
        <w:rPr>
          <w:rFonts w:ascii="Times New Roman" w:hAnsi="Times New Roman" w:cs="Times New Roman"/>
        </w:rPr>
        <w:t xml:space="preserve"> regulatory-analytic </w:t>
      </w:r>
      <w:r w:rsidR="00F52626">
        <w:rPr>
          <w:rFonts w:ascii="Times New Roman" w:hAnsi="Times New Roman" w:cs="Times New Roman"/>
        </w:rPr>
        <w:lastRenderedPageBreak/>
        <w:t>requirements prior to “issuing a proposed or final regulation.”</w:t>
      </w:r>
      <w:r w:rsidR="00CA434D" w:rsidRPr="00CA434D">
        <w:rPr>
          <w:rStyle w:val="FootnoteReference"/>
          <w:rFonts w:ascii="Times New Roman" w:hAnsi="Times New Roman" w:cs="Times New Roman"/>
        </w:rPr>
        <w:t xml:space="preserve"> </w:t>
      </w:r>
      <w:r w:rsidR="00CA434D" w:rsidRPr="00003CF8">
        <w:rPr>
          <w:rStyle w:val="FootnoteReference"/>
          <w:rFonts w:ascii="Times New Roman" w:hAnsi="Times New Roman" w:cs="Times New Roman"/>
        </w:rPr>
        <w:footnoteReference w:id="2"/>
      </w:r>
      <w:r w:rsidR="00CA434D">
        <w:rPr>
          <w:rFonts w:ascii="Times New Roman" w:hAnsi="Times New Roman" w:cs="Times New Roman"/>
        </w:rPr>
        <w:t xml:space="preserve"> </w:t>
      </w:r>
      <w:r w:rsidR="00B52279" w:rsidRPr="00003CF8">
        <w:rPr>
          <w:rFonts w:ascii="Times New Roman" w:hAnsi="Times New Roman" w:cs="Times New Roman"/>
        </w:rPr>
        <w:t>The legislation</w:t>
      </w:r>
      <w:r w:rsidR="00427169" w:rsidRPr="00003CF8">
        <w:rPr>
          <w:rFonts w:ascii="Times New Roman" w:hAnsi="Times New Roman" w:cs="Times New Roman"/>
        </w:rPr>
        <w:t xml:space="preserve"> would also require the SEC to</w:t>
      </w:r>
      <w:r w:rsidR="00FE5182">
        <w:rPr>
          <w:rFonts w:ascii="Times New Roman" w:hAnsi="Times New Roman" w:cs="Times New Roman"/>
        </w:rPr>
        <w:t xml:space="preserve"> undertake a sweeping “Post Adoption Impact Assessment” of all major </w:t>
      </w:r>
      <w:r w:rsidR="00427169" w:rsidRPr="00003CF8">
        <w:rPr>
          <w:rFonts w:ascii="Times New Roman" w:hAnsi="Times New Roman" w:cs="Times New Roman"/>
        </w:rPr>
        <w:t xml:space="preserve">rules every five years </w:t>
      </w:r>
      <w:r w:rsidR="00FE5182">
        <w:rPr>
          <w:rFonts w:ascii="Times New Roman" w:hAnsi="Times New Roman" w:cs="Times New Roman"/>
        </w:rPr>
        <w:t xml:space="preserve">following their adoption. </w:t>
      </w:r>
    </w:p>
    <w:p w14:paraId="172209ED" w14:textId="2F6FBF92" w:rsidR="000B156C" w:rsidRPr="00003CF8" w:rsidRDefault="00FC4757" w:rsidP="00427169">
      <w:pPr>
        <w:rPr>
          <w:rFonts w:ascii="Times New Roman" w:hAnsi="Times New Roman" w:cs="Times New Roman"/>
        </w:rPr>
      </w:pPr>
      <w:r w:rsidRPr="00003CF8">
        <w:rPr>
          <w:rFonts w:ascii="Times New Roman" w:hAnsi="Times New Roman" w:cs="Times New Roman"/>
        </w:rPr>
        <w:t>As a preliminary matter, t</w:t>
      </w:r>
      <w:r w:rsidR="00BC438C" w:rsidRPr="00003CF8">
        <w:rPr>
          <w:rFonts w:ascii="Times New Roman" w:hAnsi="Times New Roman" w:cs="Times New Roman"/>
        </w:rPr>
        <w:t xml:space="preserve">here </w:t>
      </w:r>
      <w:r w:rsidR="00BC1368" w:rsidRPr="00003CF8">
        <w:rPr>
          <w:rFonts w:ascii="Times New Roman" w:hAnsi="Times New Roman" w:cs="Times New Roman"/>
        </w:rPr>
        <w:t>is</w:t>
      </w:r>
      <w:r w:rsidR="004A129D" w:rsidRPr="00003CF8">
        <w:rPr>
          <w:rFonts w:ascii="Times New Roman" w:hAnsi="Times New Roman" w:cs="Times New Roman"/>
        </w:rPr>
        <w:t xml:space="preserve"> </w:t>
      </w:r>
      <w:r w:rsidR="00E77832" w:rsidRPr="00003CF8">
        <w:rPr>
          <w:rFonts w:ascii="Times New Roman" w:hAnsi="Times New Roman" w:cs="Times New Roman"/>
        </w:rPr>
        <w:t>scant evidence to support the value of</w:t>
      </w:r>
      <w:r w:rsidR="00D94A91">
        <w:rPr>
          <w:rFonts w:ascii="Times New Roman" w:hAnsi="Times New Roman" w:cs="Times New Roman"/>
        </w:rPr>
        <w:t xml:space="preserve"> cost-benefit analysis</w:t>
      </w:r>
      <w:r w:rsidR="00E77832" w:rsidRPr="00003CF8">
        <w:rPr>
          <w:rFonts w:ascii="Times New Roman" w:hAnsi="Times New Roman" w:cs="Times New Roman"/>
        </w:rPr>
        <w:t xml:space="preserve"> in the context of securities regulation.</w:t>
      </w:r>
      <w:r w:rsidR="001F7F80">
        <w:rPr>
          <w:rStyle w:val="FootnoteReference"/>
          <w:rFonts w:ascii="Times New Roman" w:hAnsi="Times New Roman" w:cs="Times New Roman"/>
        </w:rPr>
        <w:footnoteReference w:id="3"/>
      </w:r>
      <w:r w:rsidR="00E77832" w:rsidRPr="00003CF8">
        <w:rPr>
          <w:rFonts w:ascii="Times New Roman" w:hAnsi="Times New Roman" w:cs="Times New Roman"/>
        </w:rPr>
        <w:t xml:space="preserve"> In fact, academic research and</w:t>
      </w:r>
      <w:r w:rsidR="00D2030D" w:rsidRPr="00003CF8">
        <w:rPr>
          <w:rFonts w:ascii="Times New Roman" w:hAnsi="Times New Roman" w:cs="Times New Roman"/>
        </w:rPr>
        <w:t xml:space="preserve"> practical experience alike </w:t>
      </w:r>
      <w:r w:rsidRPr="00003CF8">
        <w:rPr>
          <w:rFonts w:ascii="Times New Roman" w:hAnsi="Times New Roman" w:cs="Times New Roman"/>
        </w:rPr>
        <w:t xml:space="preserve">suggests CBA in this context tends to be </w:t>
      </w:r>
      <w:r w:rsidR="00D2030D" w:rsidRPr="00003CF8">
        <w:rPr>
          <w:rFonts w:ascii="Times New Roman" w:hAnsi="Times New Roman" w:cs="Times New Roman"/>
        </w:rPr>
        <w:t xml:space="preserve">subjective, hard </w:t>
      </w:r>
      <w:r w:rsidR="000B156C" w:rsidRPr="000B156C">
        <w:rPr>
          <w:rFonts w:ascii="Times New Roman" w:hAnsi="Times New Roman" w:cs="Times New Roman"/>
        </w:rPr>
        <w:t xml:space="preserve">to </w:t>
      </w:r>
      <w:r w:rsidR="00BD7126" w:rsidRPr="00003CF8">
        <w:rPr>
          <w:rFonts w:ascii="Times New Roman" w:hAnsi="Times New Roman" w:cs="Times New Roman"/>
        </w:rPr>
        <w:t>apply,</w:t>
      </w:r>
      <w:r w:rsidR="000B156C" w:rsidRPr="000B156C">
        <w:rPr>
          <w:rFonts w:ascii="Times New Roman" w:hAnsi="Times New Roman" w:cs="Times New Roman"/>
        </w:rPr>
        <w:t xml:space="preserve"> </w:t>
      </w:r>
      <w:r w:rsidR="00D2030D" w:rsidRPr="00003CF8">
        <w:rPr>
          <w:rFonts w:ascii="Times New Roman" w:hAnsi="Times New Roman" w:cs="Times New Roman"/>
        </w:rPr>
        <w:t>hard to evaluate, and</w:t>
      </w:r>
      <w:r w:rsidR="004A129D" w:rsidRPr="00003CF8">
        <w:rPr>
          <w:rFonts w:ascii="Times New Roman" w:hAnsi="Times New Roman" w:cs="Times New Roman"/>
        </w:rPr>
        <w:t xml:space="preserve"> generally</w:t>
      </w:r>
      <w:r w:rsidR="00D2030D" w:rsidRPr="00003CF8">
        <w:rPr>
          <w:rFonts w:ascii="Times New Roman" w:hAnsi="Times New Roman" w:cs="Times New Roman"/>
        </w:rPr>
        <w:t xml:space="preserve"> </w:t>
      </w:r>
      <w:r w:rsidR="000B156C" w:rsidRPr="000B156C">
        <w:rPr>
          <w:rFonts w:ascii="Times New Roman" w:hAnsi="Times New Roman" w:cs="Times New Roman"/>
        </w:rPr>
        <w:t>“make legally sufficient rulemaking exceedingly difficult</w:t>
      </w:r>
      <w:r w:rsidR="00BD7126" w:rsidRPr="00003CF8">
        <w:rPr>
          <w:rFonts w:ascii="Times New Roman" w:hAnsi="Times New Roman" w:cs="Times New Roman"/>
        </w:rPr>
        <w:t>.</w:t>
      </w:r>
      <w:r w:rsidR="000B156C" w:rsidRPr="000B156C">
        <w:rPr>
          <w:rFonts w:ascii="Times New Roman" w:hAnsi="Times New Roman" w:cs="Times New Roman"/>
        </w:rPr>
        <w:t>”</w:t>
      </w:r>
      <w:r w:rsidR="00DD5D11">
        <w:rPr>
          <w:rStyle w:val="FootnoteReference"/>
          <w:rFonts w:ascii="Times New Roman" w:hAnsi="Times New Roman" w:cs="Times New Roman"/>
        </w:rPr>
        <w:footnoteReference w:id="4"/>
      </w:r>
    </w:p>
    <w:p w14:paraId="23ECF018" w14:textId="2BCF43ED" w:rsidR="00586E63" w:rsidRPr="00003CF8" w:rsidRDefault="00586E63" w:rsidP="00427169">
      <w:pPr>
        <w:rPr>
          <w:rFonts w:ascii="Times New Roman" w:hAnsi="Times New Roman" w:cs="Times New Roman"/>
        </w:rPr>
      </w:pPr>
      <w:r w:rsidRPr="00003CF8">
        <w:rPr>
          <w:rFonts w:ascii="Times New Roman" w:hAnsi="Times New Roman" w:cs="Times New Roman"/>
        </w:rPr>
        <w:t xml:space="preserve">Regardless of Congress’s viewpoint on </w:t>
      </w:r>
      <w:r w:rsidR="00427169" w:rsidRPr="00003CF8">
        <w:rPr>
          <w:rFonts w:ascii="Times New Roman" w:hAnsi="Times New Roman" w:cs="Times New Roman"/>
        </w:rPr>
        <w:t>regulators’ use of cost-benefit analysis</w:t>
      </w:r>
      <w:r w:rsidRPr="00003CF8">
        <w:rPr>
          <w:rFonts w:ascii="Times New Roman" w:hAnsi="Times New Roman" w:cs="Times New Roman"/>
        </w:rPr>
        <w:t xml:space="preserve"> to improve the quality of regulation, </w:t>
      </w:r>
      <w:r w:rsidR="0003136C">
        <w:rPr>
          <w:rFonts w:ascii="Times New Roman" w:hAnsi="Times New Roman" w:cs="Times New Roman"/>
        </w:rPr>
        <w:t xml:space="preserve">by any reading, </w:t>
      </w:r>
      <w:r w:rsidR="00923EB7" w:rsidRPr="00003CF8">
        <w:rPr>
          <w:rFonts w:ascii="Times New Roman" w:hAnsi="Times New Roman" w:cs="Times New Roman"/>
        </w:rPr>
        <w:t xml:space="preserve">the regulatory-analytic and cost-benefit analysis requirements </w:t>
      </w:r>
      <w:r w:rsidRPr="00003CF8">
        <w:rPr>
          <w:rFonts w:ascii="Times New Roman" w:hAnsi="Times New Roman" w:cs="Times New Roman"/>
        </w:rPr>
        <w:t xml:space="preserve">in H.R. 8339 </w:t>
      </w:r>
      <w:r w:rsidR="00674535" w:rsidRPr="00003CF8">
        <w:rPr>
          <w:rFonts w:ascii="Times New Roman" w:hAnsi="Times New Roman" w:cs="Times New Roman"/>
          <w:i/>
          <w:iCs/>
        </w:rPr>
        <w:t xml:space="preserve">do not seriously aim to </w:t>
      </w:r>
      <w:r w:rsidRPr="00003CF8">
        <w:rPr>
          <w:rFonts w:ascii="Times New Roman" w:hAnsi="Times New Roman" w:cs="Times New Roman"/>
          <w:i/>
          <w:iCs/>
        </w:rPr>
        <w:t>improv</w:t>
      </w:r>
      <w:r w:rsidR="00674535" w:rsidRPr="00003CF8">
        <w:rPr>
          <w:rFonts w:ascii="Times New Roman" w:hAnsi="Times New Roman" w:cs="Times New Roman"/>
          <w:i/>
          <w:iCs/>
        </w:rPr>
        <w:t>e</w:t>
      </w:r>
      <w:r w:rsidRPr="00003CF8">
        <w:rPr>
          <w:rFonts w:ascii="Times New Roman" w:hAnsi="Times New Roman" w:cs="Times New Roman"/>
          <w:i/>
          <w:iCs/>
        </w:rPr>
        <w:t xml:space="preserve"> regulation</w:t>
      </w:r>
      <w:r w:rsidR="0003136C">
        <w:rPr>
          <w:rFonts w:ascii="Times New Roman" w:hAnsi="Times New Roman" w:cs="Times New Roman"/>
        </w:rPr>
        <w:t>.</w:t>
      </w:r>
      <w:r w:rsidR="00185BB3" w:rsidRPr="00003CF8">
        <w:rPr>
          <w:rFonts w:ascii="Times New Roman" w:hAnsi="Times New Roman" w:cs="Times New Roman"/>
        </w:rPr>
        <w:t xml:space="preserve"> The</w:t>
      </w:r>
      <w:r w:rsidR="0003136C">
        <w:rPr>
          <w:rFonts w:ascii="Times New Roman" w:hAnsi="Times New Roman" w:cs="Times New Roman"/>
        </w:rPr>
        <w:t>ir</w:t>
      </w:r>
      <w:r w:rsidR="007D7CD6" w:rsidRPr="00003CF8">
        <w:rPr>
          <w:rFonts w:ascii="Times New Roman" w:hAnsi="Times New Roman" w:cs="Times New Roman"/>
        </w:rPr>
        <w:t xml:space="preserve"> purpose</w:t>
      </w:r>
      <w:r w:rsidR="00185BB3" w:rsidRPr="00003CF8">
        <w:rPr>
          <w:rFonts w:ascii="Times New Roman" w:hAnsi="Times New Roman" w:cs="Times New Roman"/>
        </w:rPr>
        <w:t xml:space="preserve"> is t</w:t>
      </w:r>
      <w:r w:rsidRPr="00003CF8">
        <w:rPr>
          <w:rFonts w:ascii="Times New Roman" w:hAnsi="Times New Roman" w:cs="Times New Roman"/>
        </w:rPr>
        <w:t>o</w:t>
      </w:r>
      <w:r w:rsidR="00674535" w:rsidRPr="00003CF8">
        <w:rPr>
          <w:rFonts w:ascii="Times New Roman" w:hAnsi="Times New Roman" w:cs="Times New Roman"/>
        </w:rPr>
        <w:t xml:space="preserve"> </w:t>
      </w:r>
      <w:r w:rsidRPr="00003CF8">
        <w:rPr>
          <w:rFonts w:ascii="Times New Roman" w:hAnsi="Times New Roman" w:cs="Times New Roman"/>
        </w:rPr>
        <w:t xml:space="preserve">prevent </w:t>
      </w:r>
      <w:r w:rsidR="007D7CD6" w:rsidRPr="00003CF8">
        <w:rPr>
          <w:rFonts w:ascii="Times New Roman" w:hAnsi="Times New Roman" w:cs="Times New Roman"/>
        </w:rPr>
        <w:t xml:space="preserve">effective </w:t>
      </w:r>
      <w:r w:rsidRPr="00003CF8">
        <w:rPr>
          <w:rFonts w:ascii="Times New Roman" w:hAnsi="Times New Roman" w:cs="Times New Roman"/>
        </w:rPr>
        <w:t>regulation by increasing cost and uncertainty to unacceptable levels.</w:t>
      </w:r>
      <w:r w:rsidR="00674535" w:rsidRPr="00003CF8">
        <w:rPr>
          <w:rStyle w:val="FootnoteReference"/>
          <w:rFonts w:ascii="Times New Roman" w:hAnsi="Times New Roman" w:cs="Times New Roman"/>
        </w:rPr>
        <w:footnoteReference w:id="5"/>
      </w:r>
    </w:p>
    <w:p w14:paraId="72A8E325" w14:textId="308553DD" w:rsidR="00586149" w:rsidRPr="00003CF8" w:rsidRDefault="00586E63" w:rsidP="00CB6617">
      <w:pPr>
        <w:rPr>
          <w:rFonts w:ascii="Times New Roman" w:hAnsi="Times New Roman" w:cs="Times New Roman"/>
        </w:rPr>
      </w:pPr>
      <w:r w:rsidRPr="00003CF8">
        <w:rPr>
          <w:rFonts w:ascii="Times New Roman" w:hAnsi="Times New Roman" w:cs="Times New Roman"/>
        </w:rPr>
        <w:t xml:space="preserve">In other words, by requiring the SEC to review all regulations every five years, and requiring an additional cost-benefit analysis, </w:t>
      </w:r>
      <w:r w:rsidR="00185BB3" w:rsidRPr="00003CF8">
        <w:rPr>
          <w:rFonts w:ascii="Times New Roman" w:hAnsi="Times New Roman" w:cs="Times New Roman"/>
        </w:rPr>
        <w:t xml:space="preserve">the requirements of </w:t>
      </w:r>
      <w:r w:rsidRPr="00003CF8">
        <w:rPr>
          <w:rFonts w:ascii="Times New Roman" w:hAnsi="Times New Roman" w:cs="Times New Roman"/>
        </w:rPr>
        <w:t xml:space="preserve">H.R. 8339 </w:t>
      </w:r>
      <w:r w:rsidR="00185BB3" w:rsidRPr="00003CF8">
        <w:rPr>
          <w:rFonts w:ascii="Times New Roman" w:hAnsi="Times New Roman" w:cs="Times New Roman"/>
        </w:rPr>
        <w:t>would create countless new</w:t>
      </w:r>
      <w:r w:rsidRPr="00003CF8">
        <w:rPr>
          <w:rFonts w:ascii="Times New Roman" w:hAnsi="Times New Roman" w:cs="Times New Roman"/>
        </w:rPr>
        <w:t xml:space="preserve"> </w:t>
      </w:r>
      <w:r w:rsidR="00185BB3" w:rsidRPr="00003CF8">
        <w:rPr>
          <w:rFonts w:ascii="Times New Roman" w:hAnsi="Times New Roman" w:cs="Times New Roman"/>
        </w:rPr>
        <w:t xml:space="preserve">legal and procedural barriers, with each serving as a chance for </w:t>
      </w:r>
      <w:r w:rsidRPr="00003CF8">
        <w:rPr>
          <w:rFonts w:ascii="Times New Roman" w:hAnsi="Times New Roman" w:cs="Times New Roman"/>
        </w:rPr>
        <w:t xml:space="preserve">industry groups to </w:t>
      </w:r>
      <w:r w:rsidR="00185BB3" w:rsidRPr="00003CF8">
        <w:rPr>
          <w:rFonts w:ascii="Times New Roman" w:hAnsi="Times New Roman" w:cs="Times New Roman"/>
        </w:rPr>
        <w:t xml:space="preserve">advocate </w:t>
      </w:r>
      <w:r w:rsidRPr="00003CF8">
        <w:rPr>
          <w:rFonts w:ascii="Times New Roman" w:hAnsi="Times New Roman" w:cs="Times New Roman"/>
        </w:rPr>
        <w:t>against rules they oppose</w:t>
      </w:r>
      <w:r w:rsidR="00185BB3" w:rsidRPr="00003CF8">
        <w:rPr>
          <w:rFonts w:ascii="Times New Roman" w:hAnsi="Times New Roman" w:cs="Times New Roman"/>
        </w:rPr>
        <w:t xml:space="preserve"> in Congress and the courts</w:t>
      </w:r>
      <w:r w:rsidRPr="00003CF8">
        <w:rPr>
          <w:rFonts w:ascii="Times New Roman" w:hAnsi="Times New Roman" w:cs="Times New Roman"/>
        </w:rPr>
        <w:t>, and thereby, as former SEC Chair Mary Jo White stated, “put</w:t>
      </w:r>
      <w:r w:rsidR="0026794B">
        <w:rPr>
          <w:rFonts w:ascii="Times New Roman" w:hAnsi="Times New Roman" w:cs="Times New Roman"/>
        </w:rPr>
        <w:t>s an</w:t>
      </w:r>
      <w:r w:rsidRPr="00003CF8">
        <w:rPr>
          <w:rFonts w:ascii="Times New Roman" w:hAnsi="Times New Roman" w:cs="Times New Roman"/>
        </w:rPr>
        <w:t xml:space="preserve"> agency’s rules under constantly challenge.”</w:t>
      </w:r>
      <w:r w:rsidR="00FB47A8" w:rsidRPr="00003CF8">
        <w:rPr>
          <w:rStyle w:val="FootnoteReference"/>
          <w:rFonts w:ascii="Times New Roman" w:hAnsi="Times New Roman" w:cs="Times New Roman"/>
        </w:rPr>
        <w:footnoteReference w:id="6"/>
      </w:r>
    </w:p>
    <w:p w14:paraId="1EEF0E6B" w14:textId="68B028F4" w:rsidR="006511BA" w:rsidRPr="00003CF8" w:rsidRDefault="006511BA" w:rsidP="006511BA">
      <w:pPr>
        <w:rPr>
          <w:rFonts w:ascii="Times New Roman" w:hAnsi="Times New Roman" w:cs="Times New Roman"/>
        </w:rPr>
      </w:pPr>
      <w:r w:rsidRPr="00003CF8">
        <w:rPr>
          <w:rFonts w:ascii="Times New Roman" w:hAnsi="Times New Roman" w:cs="Times New Roman"/>
        </w:rPr>
        <w:lastRenderedPageBreak/>
        <w:t xml:space="preserve">Congress must recognize </w:t>
      </w:r>
      <w:r w:rsidR="006519B7">
        <w:rPr>
          <w:rFonts w:ascii="Times New Roman" w:hAnsi="Times New Roman" w:cs="Times New Roman"/>
        </w:rPr>
        <w:t xml:space="preserve">these </w:t>
      </w:r>
      <w:r w:rsidR="008C692D">
        <w:rPr>
          <w:rFonts w:ascii="Times New Roman" w:hAnsi="Times New Roman" w:cs="Times New Roman"/>
        </w:rPr>
        <w:t xml:space="preserve">provisions </w:t>
      </w:r>
      <w:r w:rsidRPr="00003CF8">
        <w:rPr>
          <w:rFonts w:ascii="Times New Roman" w:hAnsi="Times New Roman" w:cs="Times New Roman"/>
        </w:rPr>
        <w:t xml:space="preserve">for what </w:t>
      </w:r>
      <w:r w:rsidR="006519B7">
        <w:rPr>
          <w:rFonts w:ascii="Times New Roman" w:hAnsi="Times New Roman" w:cs="Times New Roman"/>
        </w:rPr>
        <w:t>they are</w:t>
      </w:r>
      <w:r w:rsidR="00B25630">
        <w:rPr>
          <w:rFonts w:ascii="Times New Roman" w:hAnsi="Times New Roman" w:cs="Times New Roman"/>
        </w:rPr>
        <w:t xml:space="preserve">: </w:t>
      </w:r>
      <w:r w:rsidRPr="00003CF8">
        <w:rPr>
          <w:rFonts w:ascii="Times New Roman" w:hAnsi="Times New Roman" w:cs="Times New Roman"/>
        </w:rPr>
        <w:t>a</w:t>
      </w:r>
      <w:r w:rsidR="00B25630">
        <w:rPr>
          <w:rFonts w:ascii="Times New Roman" w:hAnsi="Times New Roman" w:cs="Times New Roman"/>
        </w:rPr>
        <w:t>n</w:t>
      </w:r>
      <w:r w:rsidRPr="00003CF8">
        <w:rPr>
          <w:rFonts w:ascii="Times New Roman" w:hAnsi="Times New Roman" w:cs="Times New Roman"/>
        </w:rPr>
        <w:t xml:space="preserve"> </w:t>
      </w:r>
      <w:r w:rsidR="008C692D">
        <w:rPr>
          <w:rFonts w:ascii="Times New Roman" w:hAnsi="Times New Roman" w:cs="Times New Roman"/>
        </w:rPr>
        <w:t xml:space="preserve">effort </w:t>
      </w:r>
      <w:r w:rsidRPr="00003CF8">
        <w:rPr>
          <w:rFonts w:ascii="Times New Roman" w:hAnsi="Times New Roman" w:cs="Times New Roman"/>
        </w:rPr>
        <w:t>to tilt the playing field towards industry, and away from the public interest, rewarding industry</w:t>
      </w:r>
      <w:r w:rsidR="002E57C0">
        <w:rPr>
          <w:rFonts w:ascii="Times New Roman" w:hAnsi="Times New Roman" w:cs="Times New Roman"/>
        </w:rPr>
        <w:t>’s</w:t>
      </w:r>
      <w:r w:rsidRPr="00003CF8">
        <w:rPr>
          <w:rFonts w:ascii="Times New Roman" w:hAnsi="Times New Roman" w:cs="Times New Roman"/>
        </w:rPr>
        <w:t xml:space="preserve"> ability to devote resources to fighting regulations that protect investors and markets – and vote</w:t>
      </w:r>
      <w:r w:rsidR="008C692D">
        <w:rPr>
          <w:rFonts w:ascii="Times New Roman" w:hAnsi="Times New Roman" w:cs="Times New Roman"/>
        </w:rPr>
        <w:t xml:space="preserve"> </w:t>
      </w:r>
      <w:r w:rsidRPr="00003CF8">
        <w:rPr>
          <w:rFonts w:ascii="Times New Roman" w:hAnsi="Times New Roman" w:cs="Times New Roman"/>
        </w:rPr>
        <w:t xml:space="preserve">accordingly. </w:t>
      </w:r>
    </w:p>
    <w:p w14:paraId="2C0FC986" w14:textId="77777777" w:rsidR="00B25630" w:rsidRPr="00003CF8" w:rsidRDefault="00B25630" w:rsidP="00B25630">
      <w:pPr>
        <w:rPr>
          <w:rFonts w:ascii="Times New Roman" w:hAnsi="Times New Roman" w:cs="Times New Roman"/>
        </w:rPr>
      </w:pPr>
      <w:r w:rsidRPr="00003CF8">
        <w:rPr>
          <w:rFonts w:ascii="Times New Roman" w:hAnsi="Times New Roman" w:cs="Times New Roman"/>
        </w:rPr>
        <w:t xml:space="preserve">AFR also strongly opposes provisions in H.R. 8339 that would significantly weaken the supervision and enforcement of audit firms, by folding the Public Company Accounting Oversight Board (PCAOB) into the Office of Public Accounting Oversight under the SEC. </w:t>
      </w:r>
    </w:p>
    <w:p w14:paraId="719FFB4F" w14:textId="452D8706" w:rsidR="00427169" w:rsidRPr="005F73BC" w:rsidRDefault="00B25630" w:rsidP="00CB6617">
      <w:pPr>
        <w:rPr>
          <w:rFonts w:ascii="Times New Roman" w:hAnsi="Times New Roman" w:cs="Times New Roman"/>
        </w:rPr>
      </w:pPr>
      <w:r w:rsidRPr="00437F09">
        <w:rPr>
          <w:rFonts w:ascii="Times New Roman" w:hAnsi="Times New Roman" w:cs="Times New Roman"/>
        </w:rPr>
        <w:t>Folding the PCAOB into the SEC would - by virtue of the SEC’s broader mandate - de</w:t>
      </w:r>
      <w:r>
        <w:rPr>
          <w:rFonts w:ascii="Times New Roman" w:hAnsi="Times New Roman" w:cs="Times New Roman"/>
        </w:rPr>
        <w:t>emphasize</w:t>
      </w:r>
      <w:r w:rsidRPr="00437F09">
        <w:rPr>
          <w:rFonts w:ascii="Times New Roman" w:hAnsi="Times New Roman" w:cs="Times New Roman"/>
        </w:rPr>
        <w:t xml:space="preserve"> issues around audit quality, lead to significant turnover of highly specialized accounting staff due to the differences in pay between agencies, and re-recreate many of the same problems and conditions that led to the PCAOB being created in the first place.</w:t>
      </w:r>
      <w:r w:rsidRPr="00437F09">
        <w:rPr>
          <w:rFonts w:ascii="Times New Roman" w:hAnsi="Times New Roman" w:cs="Times New Roman"/>
          <w:vertAlign w:val="superscript"/>
        </w:rPr>
        <w:footnoteReference w:id="7"/>
      </w:r>
      <w:r w:rsidRPr="00437F09">
        <w:rPr>
          <w:rFonts w:ascii="Times New Roman" w:hAnsi="Times New Roman" w:cs="Times New Roman"/>
        </w:rPr>
        <w:t xml:space="preserve"> </w:t>
      </w:r>
    </w:p>
    <w:p w14:paraId="1E3024ED" w14:textId="77777777" w:rsidR="005F73BC" w:rsidRDefault="005F73BC" w:rsidP="00CB6617">
      <w:pPr>
        <w:rPr>
          <w:rFonts w:ascii="Times New Roman" w:hAnsi="Times New Roman" w:cs="Times New Roman"/>
          <w:b/>
          <w:bCs/>
        </w:rPr>
      </w:pPr>
    </w:p>
    <w:p w14:paraId="6BF826CC" w14:textId="7EA1BF2D" w:rsidR="00AC5712" w:rsidRPr="005F73BC" w:rsidRDefault="00AC5712" w:rsidP="005F73BC">
      <w:pPr>
        <w:pStyle w:val="ListParagraph"/>
        <w:numPr>
          <w:ilvl w:val="0"/>
          <w:numId w:val="3"/>
        </w:numPr>
        <w:rPr>
          <w:rFonts w:ascii="Times New Roman" w:hAnsi="Times New Roman" w:cs="Times New Roman"/>
          <w:b/>
          <w:bCs/>
        </w:rPr>
      </w:pPr>
      <w:r w:rsidRPr="005F73BC">
        <w:rPr>
          <w:rFonts w:ascii="Times New Roman" w:hAnsi="Times New Roman" w:cs="Times New Roman"/>
          <w:b/>
          <w:bCs/>
        </w:rPr>
        <w:t>The Protecting Investors’ Personally Identifiable Information Act (H.R. 4551)</w:t>
      </w:r>
    </w:p>
    <w:p w14:paraId="4E2EA1B4" w14:textId="77777777" w:rsidR="00385684" w:rsidRDefault="001811D0" w:rsidP="00F70BB8">
      <w:pPr>
        <w:rPr>
          <w:rFonts w:ascii="Times New Roman" w:hAnsi="Times New Roman" w:cs="Times New Roman"/>
        </w:rPr>
      </w:pPr>
      <w:r w:rsidRPr="00003CF8">
        <w:rPr>
          <w:rFonts w:ascii="Times New Roman" w:hAnsi="Times New Roman" w:cs="Times New Roman"/>
        </w:rPr>
        <w:t>H.R. 4551 would prohibit the SEC from requiring a national securities exchange, association, or a member of either to provide a market participant's personally identifiable information to satisfy the reporting requirements of the Consolidated Audit Trail</w:t>
      </w:r>
      <w:r w:rsidR="008A2F3C">
        <w:rPr>
          <w:rFonts w:ascii="Times New Roman" w:hAnsi="Times New Roman" w:cs="Times New Roman"/>
        </w:rPr>
        <w:t>, or “CAT”</w:t>
      </w:r>
      <w:r w:rsidRPr="00003CF8">
        <w:rPr>
          <w:rFonts w:ascii="Times New Roman" w:hAnsi="Times New Roman" w:cs="Times New Roman"/>
        </w:rPr>
        <w:t>.</w:t>
      </w:r>
      <w:r w:rsidRPr="00003CF8">
        <w:rPr>
          <w:rStyle w:val="FootnoteReference"/>
          <w:rFonts w:ascii="Times New Roman" w:hAnsi="Times New Roman" w:cs="Times New Roman"/>
        </w:rPr>
        <w:footnoteReference w:id="8"/>
      </w:r>
      <w:r w:rsidRPr="00003CF8">
        <w:rPr>
          <w:rFonts w:ascii="Times New Roman" w:hAnsi="Times New Roman" w:cs="Times New Roman"/>
        </w:rPr>
        <w:t xml:space="preserve">  </w:t>
      </w:r>
      <w:r w:rsidR="005D4E25">
        <w:rPr>
          <w:rFonts w:ascii="Times New Roman" w:hAnsi="Times New Roman" w:cs="Times New Roman"/>
        </w:rPr>
        <w:t xml:space="preserve"> </w:t>
      </w:r>
    </w:p>
    <w:p w14:paraId="7F692BFC" w14:textId="669BD3A8" w:rsidR="0048613F" w:rsidRDefault="008A2F3C" w:rsidP="00F70BB8">
      <w:pPr>
        <w:rPr>
          <w:rFonts w:ascii="Times New Roman" w:hAnsi="Times New Roman" w:cs="Times New Roman"/>
        </w:rPr>
      </w:pPr>
      <w:r w:rsidRPr="008A2F3C">
        <w:rPr>
          <w:rFonts w:ascii="Times New Roman" w:hAnsi="Times New Roman" w:cs="Times New Roman"/>
        </w:rPr>
        <w:t xml:space="preserve">The CAT was launched after the </w:t>
      </w:r>
      <w:r w:rsidR="00AC5B38">
        <w:rPr>
          <w:rFonts w:ascii="Times New Roman" w:hAnsi="Times New Roman" w:cs="Times New Roman"/>
        </w:rPr>
        <w:t>“</w:t>
      </w:r>
      <w:r w:rsidRPr="008A2F3C">
        <w:rPr>
          <w:rFonts w:ascii="Times New Roman" w:hAnsi="Times New Roman" w:cs="Times New Roman"/>
        </w:rPr>
        <w:t>flash crash</w:t>
      </w:r>
      <w:r w:rsidR="00AC5B38">
        <w:rPr>
          <w:rFonts w:ascii="Times New Roman" w:hAnsi="Times New Roman" w:cs="Times New Roman"/>
        </w:rPr>
        <w:t>”</w:t>
      </w:r>
      <w:r w:rsidRPr="008A2F3C">
        <w:rPr>
          <w:rFonts w:ascii="Times New Roman" w:hAnsi="Times New Roman" w:cs="Times New Roman"/>
        </w:rPr>
        <w:t xml:space="preserve"> of 2010 to give regulators such as the SEC more visibility into increasingly fast-paced and complex trading across the public markets. </w:t>
      </w:r>
      <w:r>
        <w:rPr>
          <w:rFonts w:ascii="Times New Roman" w:hAnsi="Times New Roman" w:cs="Times New Roman"/>
        </w:rPr>
        <w:t xml:space="preserve"> It</w:t>
      </w:r>
      <w:r w:rsidRPr="008A2F3C">
        <w:rPr>
          <w:rFonts w:ascii="Times New Roman" w:hAnsi="Times New Roman" w:cs="Times New Roman"/>
        </w:rPr>
        <w:t xml:space="preserve"> requires that exchanges and broker-dealers provide every quote, order, cancellation, and trade that occurs in any stock or option across U.S. public markets.</w:t>
      </w:r>
      <w:r w:rsidRPr="008A2F3C">
        <w:rPr>
          <w:rFonts w:ascii="Times New Roman" w:hAnsi="Times New Roman" w:cs="Times New Roman"/>
          <w:vertAlign w:val="superscript"/>
        </w:rPr>
        <w:footnoteReference w:id="9"/>
      </w:r>
      <w:r w:rsidR="00CD03F8">
        <w:rPr>
          <w:rFonts w:ascii="Times New Roman" w:hAnsi="Times New Roman" w:cs="Times New Roman"/>
        </w:rPr>
        <w:t xml:space="preserve">  </w:t>
      </w:r>
      <w:r w:rsidR="00CD03F8" w:rsidRPr="00CD03F8">
        <w:rPr>
          <w:rFonts w:ascii="Times New Roman" w:hAnsi="Times New Roman" w:cs="Times New Roman"/>
        </w:rPr>
        <w:t>Information collected from the CAT was critical to the SEC being able to better enforce rules against insider trading, provide better data to inform the SEC’s rulemaking, and to help the SEC collect critical information demanded by Congress in response to its hearings in 2021 on GameStop.</w:t>
      </w:r>
      <w:r w:rsidR="00CD03F8" w:rsidRPr="00CD03F8">
        <w:rPr>
          <w:rFonts w:ascii="Times New Roman" w:hAnsi="Times New Roman" w:cs="Times New Roman"/>
          <w:vertAlign w:val="superscript"/>
        </w:rPr>
        <w:footnoteReference w:id="10"/>
      </w:r>
      <w:r w:rsidR="00CD03F8" w:rsidRPr="00CD03F8">
        <w:rPr>
          <w:rFonts w:ascii="Times New Roman" w:hAnsi="Times New Roman" w:cs="Times New Roman"/>
        </w:rPr>
        <w:t xml:space="preserve"> </w:t>
      </w:r>
    </w:p>
    <w:p w14:paraId="25D487D2" w14:textId="41C11B96" w:rsidR="00833F1E" w:rsidRDefault="00CD03F8" w:rsidP="00F70BB8">
      <w:pPr>
        <w:rPr>
          <w:rFonts w:ascii="Times New Roman" w:hAnsi="Times New Roman" w:cs="Times New Roman"/>
        </w:rPr>
      </w:pPr>
      <w:r>
        <w:rPr>
          <w:rFonts w:ascii="Times New Roman" w:hAnsi="Times New Roman" w:cs="Times New Roman"/>
        </w:rPr>
        <w:t xml:space="preserve">AFR opposes </w:t>
      </w:r>
      <w:r w:rsidR="00833F1E">
        <w:rPr>
          <w:rFonts w:ascii="Times New Roman" w:hAnsi="Times New Roman" w:cs="Times New Roman"/>
        </w:rPr>
        <w:t>H.R. 455</w:t>
      </w:r>
      <w:r>
        <w:rPr>
          <w:rFonts w:ascii="Times New Roman" w:hAnsi="Times New Roman" w:cs="Times New Roman"/>
        </w:rPr>
        <w:t>1 primarily due</w:t>
      </w:r>
      <w:r w:rsidR="008D043E">
        <w:rPr>
          <w:rFonts w:ascii="Times New Roman" w:hAnsi="Times New Roman" w:cs="Times New Roman"/>
        </w:rPr>
        <w:t xml:space="preserve"> to its </w:t>
      </w:r>
      <w:r w:rsidR="001F574D">
        <w:rPr>
          <w:rFonts w:ascii="Times New Roman" w:hAnsi="Times New Roman" w:cs="Times New Roman"/>
        </w:rPr>
        <w:t xml:space="preserve">anticipated </w:t>
      </w:r>
      <w:r w:rsidR="008D043E">
        <w:rPr>
          <w:rFonts w:ascii="Times New Roman" w:hAnsi="Times New Roman" w:cs="Times New Roman"/>
        </w:rPr>
        <w:t>adverse impact on the SEC’s ability to perform market</w:t>
      </w:r>
      <w:r w:rsidR="00DB207E">
        <w:rPr>
          <w:rFonts w:ascii="Times New Roman" w:hAnsi="Times New Roman" w:cs="Times New Roman"/>
        </w:rPr>
        <w:t xml:space="preserve"> surveillance</w:t>
      </w:r>
      <w:r>
        <w:rPr>
          <w:rFonts w:ascii="Times New Roman" w:hAnsi="Times New Roman" w:cs="Times New Roman"/>
        </w:rPr>
        <w:t>.</w:t>
      </w:r>
    </w:p>
    <w:p w14:paraId="21BA0A4B" w14:textId="0A9B8AC4" w:rsidR="00F70BB8" w:rsidRDefault="001811D0" w:rsidP="00F70BB8">
      <w:pPr>
        <w:rPr>
          <w:rFonts w:ascii="Times New Roman" w:hAnsi="Times New Roman" w:cs="Times New Roman"/>
        </w:rPr>
      </w:pPr>
      <w:r>
        <w:rPr>
          <w:rFonts w:ascii="Times New Roman" w:hAnsi="Times New Roman" w:cs="Times New Roman"/>
        </w:rPr>
        <w:lastRenderedPageBreak/>
        <w:t>As the Committee is aware,</w:t>
      </w:r>
      <w:r w:rsidR="00003CF8" w:rsidRPr="00003CF8">
        <w:rPr>
          <w:rFonts w:ascii="Times New Roman" w:hAnsi="Times New Roman" w:cs="Times New Roman"/>
        </w:rPr>
        <w:t xml:space="preserve"> CAT is the</w:t>
      </w:r>
      <w:r>
        <w:rPr>
          <w:rFonts w:ascii="Times New Roman" w:hAnsi="Times New Roman" w:cs="Times New Roman"/>
        </w:rPr>
        <w:t xml:space="preserve"> SEC’s</w:t>
      </w:r>
      <w:r w:rsidR="00003CF8" w:rsidRPr="00003CF8">
        <w:rPr>
          <w:rFonts w:ascii="Times New Roman" w:hAnsi="Times New Roman" w:cs="Times New Roman"/>
        </w:rPr>
        <w:t xml:space="preserve"> primary</w:t>
      </w:r>
      <w:r>
        <w:rPr>
          <w:rFonts w:ascii="Times New Roman" w:hAnsi="Times New Roman" w:cs="Times New Roman"/>
        </w:rPr>
        <w:t xml:space="preserve"> </w:t>
      </w:r>
      <w:r w:rsidR="00003CF8" w:rsidRPr="00003CF8">
        <w:rPr>
          <w:rFonts w:ascii="Times New Roman" w:hAnsi="Times New Roman" w:cs="Times New Roman"/>
        </w:rPr>
        <w:t>mechanism for surveillance for market manipulation and other trading activities.</w:t>
      </w:r>
      <w:r>
        <w:rPr>
          <w:rStyle w:val="FootnoteReference"/>
          <w:rFonts w:ascii="Times New Roman" w:hAnsi="Times New Roman" w:cs="Times New Roman"/>
        </w:rPr>
        <w:footnoteReference w:id="11"/>
      </w:r>
      <w:r w:rsidR="003B3EC9">
        <w:rPr>
          <w:rFonts w:ascii="Times New Roman" w:hAnsi="Times New Roman" w:cs="Times New Roman"/>
        </w:rPr>
        <w:t xml:space="preserve">  The restrictions contemplated by </w:t>
      </w:r>
      <w:r w:rsidR="00884194">
        <w:rPr>
          <w:rFonts w:ascii="Times New Roman" w:hAnsi="Times New Roman" w:cs="Times New Roman"/>
        </w:rPr>
        <w:t>H.R. 4551</w:t>
      </w:r>
      <w:r w:rsidR="003B3EC9">
        <w:rPr>
          <w:rFonts w:ascii="Times New Roman" w:hAnsi="Times New Roman" w:cs="Times New Roman"/>
        </w:rPr>
        <w:t xml:space="preserve"> </w:t>
      </w:r>
      <w:r w:rsidR="00C0007C" w:rsidRPr="00C0007C">
        <w:rPr>
          <w:rFonts w:ascii="Times New Roman" w:hAnsi="Times New Roman" w:cs="Times New Roman"/>
        </w:rPr>
        <w:t xml:space="preserve">would </w:t>
      </w:r>
      <w:r w:rsidR="00C0007C">
        <w:rPr>
          <w:rFonts w:ascii="Times New Roman" w:hAnsi="Times New Roman" w:cs="Times New Roman"/>
        </w:rPr>
        <w:t>significantly</w:t>
      </w:r>
      <w:r w:rsidR="00C0007C" w:rsidRPr="00C0007C">
        <w:rPr>
          <w:rFonts w:ascii="Times New Roman" w:hAnsi="Times New Roman" w:cs="Times New Roman"/>
        </w:rPr>
        <w:t xml:space="preserve"> </w:t>
      </w:r>
      <w:r w:rsidR="009A018E">
        <w:rPr>
          <w:rFonts w:ascii="Times New Roman" w:hAnsi="Times New Roman" w:cs="Times New Roman"/>
        </w:rPr>
        <w:t xml:space="preserve">complicate the </w:t>
      </w:r>
      <w:r w:rsidR="00C0007C" w:rsidRPr="00C0007C">
        <w:rPr>
          <w:rFonts w:ascii="Times New Roman" w:hAnsi="Times New Roman" w:cs="Times New Roman"/>
        </w:rPr>
        <w:t>SEC</w:t>
      </w:r>
      <w:r w:rsidR="009A018E">
        <w:rPr>
          <w:rFonts w:ascii="Times New Roman" w:hAnsi="Times New Roman" w:cs="Times New Roman"/>
        </w:rPr>
        <w:t>’s ability</w:t>
      </w:r>
      <w:r w:rsidR="00C0007C" w:rsidRPr="00C0007C">
        <w:rPr>
          <w:rFonts w:ascii="Times New Roman" w:hAnsi="Times New Roman" w:cs="Times New Roman"/>
        </w:rPr>
        <w:t xml:space="preserve"> </w:t>
      </w:r>
      <w:r w:rsidR="00E159E9">
        <w:rPr>
          <w:rFonts w:ascii="Times New Roman" w:hAnsi="Times New Roman" w:cs="Times New Roman"/>
        </w:rPr>
        <w:t xml:space="preserve">undertake </w:t>
      </w:r>
      <w:r w:rsidR="00C0007C" w:rsidRPr="00C0007C">
        <w:rPr>
          <w:rFonts w:ascii="Times New Roman" w:hAnsi="Times New Roman" w:cs="Times New Roman"/>
        </w:rPr>
        <w:t>examinations or enforcement</w:t>
      </w:r>
      <w:r w:rsidR="009A018E">
        <w:rPr>
          <w:rFonts w:ascii="Times New Roman" w:hAnsi="Times New Roman" w:cs="Times New Roman"/>
        </w:rPr>
        <w:t xml:space="preserve"> of market manipulation</w:t>
      </w:r>
      <w:r w:rsidR="00C0007C" w:rsidRPr="00C0007C">
        <w:rPr>
          <w:rFonts w:ascii="Times New Roman" w:hAnsi="Times New Roman" w:cs="Times New Roman"/>
        </w:rPr>
        <w:t>, which requires the agency to know who is engaging in tradin</w:t>
      </w:r>
      <w:r w:rsidR="005D4E25">
        <w:rPr>
          <w:rFonts w:ascii="Times New Roman" w:hAnsi="Times New Roman" w:cs="Times New Roman"/>
        </w:rPr>
        <w:t>g,</w:t>
      </w:r>
      <w:r w:rsidR="009A018E">
        <w:rPr>
          <w:rFonts w:ascii="Times New Roman" w:hAnsi="Times New Roman" w:cs="Times New Roman"/>
        </w:rPr>
        <w:t xml:space="preserve"> </w:t>
      </w:r>
      <w:r w:rsidR="005D4E25">
        <w:rPr>
          <w:rFonts w:ascii="Times New Roman" w:hAnsi="Times New Roman" w:cs="Times New Roman"/>
        </w:rPr>
        <w:t>l</w:t>
      </w:r>
      <w:r w:rsidR="009A018E">
        <w:rPr>
          <w:rFonts w:ascii="Times New Roman" w:hAnsi="Times New Roman" w:cs="Times New Roman"/>
        </w:rPr>
        <w:t>eav</w:t>
      </w:r>
      <w:r w:rsidR="005D4E25">
        <w:rPr>
          <w:rFonts w:ascii="Times New Roman" w:hAnsi="Times New Roman" w:cs="Times New Roman"/>
        </w:rPr>
        <w:t>ing</w:t>
      </w:r>
      <w:r w:rsidR="009A018E">
        <w:rPr>
          <w:rFonts w:ascii="Times New Roman" w:hAnsi="Times New Roman" w:cs="Times New Roman"/>
        </w:rPr>
        <w:t xml:space="preserve"> the agency unable </w:t>
      </w:r>
      <w:r w:rsidR="00152538">
        <w:rPr>
          <w:rFonts w:ascii="Times New Roman" w:hAnsi="Times New Roman" w:cs="Times New Roman"/>
        </w:rPr>
        <w:t>to perform</w:t>
      </w:r>
      <w:r w:rsidR="00974D16">
        <w:rPr>
          <w:rFonts w:ascii="Times New Roman" w:hAnsi="Times New Roman" w:cs="Times New Roman"/>
        </w:rPr>
        <w:t xml:space="preserve"> </w:t>
      </w:r>
      <w:r w:rsidR="00974D16" w:rsidRPr="00974D16">
        <w:rPr>
          <w:rFonts w:ascii="Times New Roman" w:hAnsi="Times New Roman" w:cs="Times New Roman"/>
        </w:rPr>
        <w:t>basic policing of the markets in ways that have been done for decades</w:t>
      </w:r>
      <w:r w:rsidR="00152538">
        <w:rPr>
          <w:rFonts w:ascii="Times New Roman" w:hAnsi="Times New Roman" w:cs="Times New Roman"/>
        </w:rPr>
        <w:t xml:space="preserve">.  </w:t>
      </w:r>
      <w:r w:rsidR="0017603F">
        <w:rPr>
          <w:rFonts w:ascii="Times New Roman" w:hAnsi="Times New Roman" w:cs="Times New Roman"/>
        </w:rPr>
        <w:t xml:space="preserve">While </w:t>
      </w:r>
      <w:r w:rsidR="003E2AB9">
        <w:rPr>
          <w:rFonts w:ascii="Times New Roman" w:hAnsi="Times New Roman" w:cs="Times New Roman"/>
        </w:rPr>
        <w:t>H.R. 4551</w:t>
      </w:r>
      <w:r w:rsidR="0017603F">
        <w:rPr>
          <w:rFonts w:ascii="Times New Roman" w:hAnsi="Times New Roman" w:cs="Times New Roman"/>
        </w:rPr>
        <w:t xml:space="preserve"> would allow the SEC limited access to CAT PII, such access </w:t>
      </w:r>
      <w:r w:rsidR="00152538">
        <w:rPr>
          <w:rFonts w:ascii="Times New Roman" w:hAnsi="Times New Roman" w:cs="Times New Roman"/>
        </w:rPr>
        <w:t xml:space="preserve">would be </w:t>
      </w:r>
      <w:r w:rsidR="0017603F">
        <w:rPr>
          <w:rFonts w:ascii="Times New Roman" w:hAnsi="Times New Roman" w:cs="Times New Roman"/>
        </w:rPr>
        <w:t>only upon the conclusion of a cumbersome and</w:t>
      </w:r>
      <w:r w:rsidR="004B1B5D">
        <w:rPr>
          <w:rFonts w:ascii="Times New Roman" w:hAnsi="Times New Roman" w:cs="Times New Roman"/>
        </w:rPr>
        <w:t xml:space="preserve"> unnecessary process that limits its utility.</w:t>
      </w:r>
    </w:p>
    <w:p w14:paraId="0AAAA224" w14:textId="3620CD62" w:rsidR="00833F1E" w:rsidRDefault="00833F1E" w:rsidP="00833F1E">
      <w:pPr>
        <w:rPr>
          <w:rFonts w:ascii="Times New Roman" w:hAnsi="Times New Roman" w:cs="Times New Roman"/>
        </w:rPr>
      </w:pPr>
      <w:r>
        <w:rPr>
          <w:rFonts w:ascii="Times New Roman" w:hAnsi="Times New Roman" w:cs="Times New Roman"/>
        </w:rPr>
        <w:t xml:space="preserve">AFR is also concerned that H.R. 4551 </w:t>
      </w:r>
      <w:r w:rsidR="00B625CE">
        <w:rPr>
          <w:rFonts w:ascii="Times New Roman" w:hAnsi="Times New Roman" w:cs="Times New Roman"/>
        </w:rPr>
        <w:t xml:space="preserve">addresses a problem that does not exist.  </w:t>
      </w:r>
    </w:p>
    <w:p w14:paraId="2573550A" w14:textId="416B021C" w:rsidR="00833F1E" w:rsidRDefault="00833F1E" w:rsidP="00833F1E">
      <w:pPr>
        <w:rPr>
          <w:rFonts w:ascii="Times New Roman" w:hAnsi="Times New Roman" w:cs="Times New Roman"/>
        </w:rPr>
      </w:pPr>
      <w:r w:rsidRPr="00833F1E">
        <w:rPr>
          <w:rFonts w:ascii="Times New Roman" w:hAnsi="Times New Roman" w:cs="Times New Roman"/>
        </w:rPr>
        <w:t>The CAT has several steps to ensure PII is not improperly accessed, but this amendment isn't really about PII. Rather, the amendment is attempting to assert an artificial and new "right to privacy" for trading in public markets, where none has ever existed, and even if that is abusive or illegal trading.</w:t>
      </w:r>
      <w:r w:rsidR="003E2AB9">
        <w:rPr>
          <w:rFonts w:ascii="Times New Roman" w:hAnsi="Times New Roman" w:cs="Times New Roman"/>
        </w:rPr>
        <w:t xml:space="preserve"> We also note that, </w:t>
      </w:r>
      <w:r w:rsidRPr="00833F1E">
        <w:rPr>
          <w:rFonts w:ascii="Times New Roman" w:hAnsi="Times New Roman" w:cs="Times New Roman"/>
        </w:rPr>
        <w:t>as</w:t>
      </w:r>
      <w:r w:rsidR="003E2AB9">
        <w:rPr>
          <w:rFonts w:ascii="Times New Roman" w:hAnsi="Times New Roman" w:cs="Times New Roman"/>
        </w:rPr>
        <w:t xml:space="preserve"> CAT is</w:t>
      </w:r>
      <w:r w:rsidRPr="00833F1E">
        <w:rPr>
          <w:rFonts w:ascii="Times New Roman" w:hAnsi="Times New Roman" w:cs="Times New Roman"/>
        </w:rPr>
        <w:t xml:space="preserve"> already set up, regulators don't have access to PII information directl</w:t>
      </w:r>
      <w:r w:rsidR="003E2AB9">
        <w:rPr>
          <w:rFonts w:ascii="Times New Roman" w:hAnsi="Times New Roman" w:cs="Times New Roman"/>
        </w:rPr>
        <w:t>y</w:t>
      </w:r>
      <w:r w:rsidRPr="00833F1E">
        <w:rPr>
          <w:rFonts w:ascii="Times New Roman" w:hAnsi="Times New Roman" w:cs="Times New Roman"/>
        </w:rPr>
        <w:t>, but rather a masked identifier.</w:t>
      </w:r>
      <w:r w:rsidR="009D280C">
        <w:rPr>
          <w:rStyle w:val="FootnoteReference"/>
          <w:rFonts w:ascii="Times New Roman" w:hAnsi="Times New Roman" w:cs="Times New Roman"/>
        </w:rPr>
        <w:footnoteReference w:id="12"/>
      </w:r>
    </w:p>
    <w:p w14:paraId="38E327C4" w14:textId="40085205" w:rsidR="00CD03F8" w:rsidRDefault="00CD03F8" w:rsidP="00833F1E">
      <w:pPr>
        <w:rPr>
          <w:rFonts w:ascii="Times New Roman" w:hAnsi="Times New Roman" w:cs="Times New Roman"/>
        </w:rPr>
      </w:pPr>
      <w:r>
        <w:rPr>
          <w:rFonts w:ascii="Times New Roman" w:hAnsi="Times New Roman" w:cs="Times New Roman"/>
        </w:rPr>
        <w:t xml:space="preserve">We urge the Committee to reject H.R. </w:t>
      </w:r>
      <w:r w:rsidR="001F574D">
        <w:rPr>
          <w:rFonts w:ascii="Times New Roman" w:hAnsi="Times New Roman" w:cs="Times New Roman"/>
        </w:rPr>
        <w:t>4551.</w:t>
      </w:r>
    </w:p>
    <w:p w14:paraId="4A7CBB8D" w14:textId="77777777" w:rsidR="00411D74" w:rsidRDefault="00411D74" w:rsidP="00833F1E">
      <w:pPr>
        <w:rPr>
          <w:rFonts w:ascii="Times New Roman" w:hAnsi="Times New Roman" w:cs="Times New Roman"/>
        </w:rPr>
      </w:pPr>
    </w:p>
    <w:p w14:paraId="67566F6D" w14:textId="502467AA" w:rsidR="00411D74" w:rsidRPr="005F73BC" w:rsidRDefault="00F474FB" w:rsidP="005F73BC">
      <w:pPr>
        <w:pStyle w:val="ListParagraph"/>
        <w:numPr>
          <w:ilvl w:val="0"/>
          <w:numId w:val="3"/>
        </w:numPr>
        <w:rPr>
          <w:rFonts w:ascii="Times New Roman" w:hAnsi="Times New Roman" w:cs="Times New Roman"/>
          <w:b/>
          <w:bCs/>
        </w:rPr>
      </w:pPr>
      <w:r w:rsidRPr="005F73BC">
        <w:rPr>
          <w:rFonts w:ascii="Times New Roman" w:hAnsi="Times New Roman" w:cs="Times New Roman"/>
          <w:b/>
          <w:bCs/>
        </w:rPr>
        <w:t xml:space="preserve">Providing for congressional disapproval under chapter 8 of title 5, </w:t>
      </w:r>
      <w:r w:rsidR="005F73BC">
        <w:rPr>
          <w:rFonts w:ascii="Times New Roman" w:hAnsi="Times New Roman" w:cs="Times New Roman"/>
          <w:b/>
          <w:bCs/>
        </w:rPr>
        <w:t>U.S.C.</w:t>
      </w:r>
      <w:r w:rsidRPr="005F73BC">
        <w:rPr>
          <w:rFonts w:ascii="Times New Roman" w:hAnsi="Times New Roman" w:cs="Times New Roman"/>
          <w:b/>
          <w:bCs/>
        </w:rPr>
        <w:t>, of the rule submitted by the Securities and Exchange Commission relating to "Cybersecurity Risk Management, Strategy, Governance, and Incident Disclosure."</w:t>
      </w:r>
      <w:r w:rsidR="00B35C1C" w:rsidRPr="005F73BC">
        <w:rPr>
          <w:rFonts w:ascii="Times New Roman" w:hAnsi="Times New Roman" w:cs="Times New Roman"/>
          <w:b/>
          <w:bCs/>
        </w:rPr>
        <w:t xml:space="preserve">  (H.J. Res. 100)</w:t>
      </w:r>
    </w:p>
    <w:p w14:paraId="07C3182A" w14:textId="77777777" w:rsidR="005F73BC" w:rsidRDefault="005F73BC" w:rsidP="00411D74">
      <w:pPr>
        <w:rPr>
          <w:rFonts w:ascii="Times New Roman" w:hAnsi="Times New Roman" w:cs="Times New Roman"/>
        </w:rPr>
      </w:pPr>
      <w:r>
        <w:rPr>
          <w:rFonts w:ascii="Times New Roman" w:hAnsi="Times New Roman" w:cs="Times New Roman"/>
        </w:rPr>
        <w:t xml:space="preserve">Finally, </w:t>
      </w:r>
      <w:r w:rsidR="00411D74" w:rsidRPr="00411D74">
        <w:rPr>
          <w:rFonts w:ascii="Times New Roman" w:hAnsi="Times New Roman" w:cs="Times New Roman"/>
        </w:rPr>
        <w:t>AFR opposes H.J. Res 100</w:t>
      </w:r>
      <w:r w:rsidR="00F474FB">
        <w:rPr>
          <w:rFonts w:ascii="Times New Roman" w:hAnsi="Times New Roman" w:cs="Times New Roman"/>
        </w:rPr>
        <w:t>,</w:t>
      </w:r>
      <w:r w:rsidR="00411D74" w:rsidRPr="00411D74">
        <w:rPr>
          <w:rFonts w:ascii="Times New Roman" w:hAnsi="Times New Roman" w:cs="Times New Roman"/>
        </w:rPr>
        <w:t xml:space="preserve"> which would overturn the SEC’s Cybersecurity Risk Management, Strategy, Governance and Incident Disclosure rule that was finalized on July 26, 2023.</w:t>
      </w:r>
      <w:r w:rsidR="00F474FB">
        <w:rPr>
          <w:rFonts w:ascii="Times New Roman" w:hAnsi="Times New Roman" w:cs="Times New Roman"/>
        </w:rPr>
        <w:t xml:space="preserve"> (</w:t>
      </w:r>
      <w:r w:rsidR="0098585A">
        <w:rPr>
          <w:rFonts w:ascii="Times New Roman" w:hAnsi="Times New Roman" w:cs="Times New Roman"/>
        </w:rPr>
        <w:t>“</w:t>
      </w:r>
      <w:r w:rsidR="00F474FB">
        <w:rPr>
          <w:rFonts w:ascii="Times New Roman" w:hAnsi="Times New Roman" w:cs="Times New Roman"/>
        </w:rPr>
        <w:t>SEC Cyber Rule</w:t>
      </w:r>
      <w:r w:rsidR="0098585A">
        <w:rPr>
          <w:rFonts w:ascii="Times New Roman" w:hAnsi="Times New Roman" w:cs="Times New Roman"/>
        </w:rPr>
        <w:t>”).</w:t>
      </w:r>
    </w:p>
    <w:p w14:paraId="47EF1A00" w14:textId="2AD3507A" w:rsidR="00411D74" w:rsidRPr="00411D74" w:rsidRDefault="0098585A" w:rsidP="00411D74">
      <w:pPr>
        <w:rPr>
          <w:rFonts w:ascii="Times New Roman" w:hAnsi="Times New Roman" w:cs="Times New Roman"/>
        </w:rPr>
      </w:pPr>
      <w:r>
        <w:rPr>
          <w:rFonts w:ascii="Times New Roman" w:hAnsi="Times New Roman" w:cs="Times New Roman"/>
        </w:rPr>
        <w:t>The SEC’s Cyber Rule</w:t>
      </w:r>
      <w:r w:rsidR="00411D74" w:rsidRPr="00411D74">
        <w:rPr>
          <w:rFonts w:ascii="Times New Roman" w:hAnsi="Times New Roman" w:cs="Times New Roman"/>
        </w:rPr>
        <w:t xml:space="preserve"> requires </w:t>
      </w:r>
      <w:r>
        <w:rPr>
          <w:rFonts w:ascii="Times New Roman" w:hAnsi="Times New Roman" w:cs="Times New Roman"/>
        </w:rPr>
        <w:t xml:space="preserve">publicly held </w:t>
      </w:r>
      <w:r w:rsidR="00411D74" w:rsidRPr="00411D74">
        <w:rPr>
          <w:rFonts w:ascii="Times New Roman" w:hAnsi="Times New Roman" w:cs="Times New Roman"/>
        </w:rPr>
        <w:t xml:space="preserve">companies to disclose their policies and procedures around cybersecurity risks and requires cybersecurity incidents to be disclosed to investors over the SEC’s Form 8-K within four days. </w:t>
      </w:r>
      <w:r>
        <w:rPr>
          <w:rFonts w:ascii="Times New Roman" w:hAnsi="Times New Roman" w:cs="Times New Roman"/>
        </w:rPr>
        <w:t xml:space="preserve"> Such information is not only directly and obviously material to investors, but benefits U.S. public and national security policy.</w:t>
      </w:r>
    </w:p>
    <w:p w14:paraId="3E010885" w14:textId="14D7998F" w:rsidR="00411D74" w:rsidRPr="00411D74" w:rsidRDefault="00411D74" w:rsidP="00411D74">
      <w:pPr>
        <w:rPr>
          <w:rFonts w:ascii="Times New Roman" w:hAnsi="Times New Roman" w:cs="Times New Roman"/>
        </w:rPr>
      </w:pPr>
      <w:r w:rsidRPr="00411D74">
        <w:rPr>
          <w:rFonts w:ascii="Times New Roman" w:hAnsi="Times New Roman" w:cs="Times New Roman"/>
        </w:rPr>
        <w:t>Estimates from Cybersecurity Ventures predict that the costs of cybercrime will rise to $10.5 trillion in 2025, compared to $3 trillion in 2015.</w:t>
      </w:r>
      <w:r w:rsidRPr="00411D74">
        <w:rPr>
          <w:rFonts w:ascii="Times New Roman" w:hAnsi="Times New Roman" w:cs="Times New Roman"/>
          <w:vertAlign w:val="superscript"/>
        </w:rPr>
        <w:footnoteReference w:id="13"/>
      </w:r>
      <w:r w:rsidRPr="00411D74">
        <w:rPr>
          <w:rFonts w:ascii="Times New Roman" w:hAnsi="Times New Roman" w:cs="Times New Roman"/>
        </w:rPr>
        <w:t xml:space="preserve"> Cyber-attacks include activity material to companies and their investors such as the stealing of intellectual property, access to sensitive customer information, and attacks that take down critical systems as was recently seen in the </w:t>
      </w:r>
      <w:r w:rsidRPr="00411D74">
        <w:rPr>
          <w:rFonts w:ascii="Times New Roman" w:hAnsi="Times New Roman" w:cs="Times New Roman"/>
        </w:rPr>
        <w:lastRenderedPageBreak/>
        <w:t>cyberattack against UnitedHealthcare’s Change Healthcare that negatively impacted many patients and businesses across the industry.</w:t>
      </w:r>
      <w:r w:rsidRPr="00411D74">
        <w:rPr>
          <w:rFonts w:ascii="Times New Roman" w:hAnsi="Times New Roman" w:cs="Times New Roman"/>
          <w:vertAlign w:val="superscript"/>
        </w:rPr>
        <w:footnoteReference w:id="14"/>
      </w:r>
      <w:r w:rsidRPr="00411D74">
        <w:rPr>
          <w:rFonts w:ascii="Times New Roman" w:hAnsi="Times New Roman" w:cs="Times New Roman"/>
        </w:rPr>
        <w:t xml:space="preserve"> </w:t>
      </w:r>
    </w:p>
    <w:p w14:paraId="46B306FE" w14:textId="2FC8E3E4" w:rsidR="003C0A87" w:rsidRPr="00E06BCF" w:rsidRDefault="00411D74" w:rsidP="003C0A87">
      <w:pPr>
        <w:rPr>
          <w:rFonts w:ascii="Times New Roman" w:hAnsi="Times New Roman" w:cs="Times New Roman"/>
        </w:rPr>
      </w:pPr>
      <w:r w:rsidRPr="00411D74">
        <w:rPr>
          <w:rFonts w:ascii="Times New Roman" w:hAnsi="Times New Roman" w:cs="Times New Roman"/>
        </w:rPr>
        <w:t>As commentors pointed out during the rule’s comment process, cybersecurity attacks are also unique from a securities law context because successful cyberattacks provide the attackers with knowledge about the extent of the damage they are causing, which they can then also profit from, making quick discl</w:t>
      </w:r>
      <w:r w:rsidR="003C0A87" w:rsidRPr="00411D74">
        <w:rPr>
          <w:rFonts w:ascii="Times New Roman" w:hAnsi="Times New Roman" w:cs="Times New Roman"/>
        </w:rPr>
        <w:t>osure of attacks to other investors particularly vital.</w:t>
      </w:r>
      <w:r w:rsidR="003C0A87" w:rsidRPr="00411D74">
        <w:rPr>
          <w:rFonts w:ascii="Times New Roman" w:hAnsi="Times New Roman" w:cs="Times New Roman"/>
          <w:vertAlign w:val="superscript"/>
        </w:rPr>
        <w:footnoteReference w:id="15"/>
      </w:r>
    </w:p>
    <w:p w14:paraId="2FA9A4CC" w14:textId="0F7AC1EA" w:rsidR="003C0A87" w:rsidRPr="003C0A87" w:rsidRDefault="003C0A87" w:rsidP="003C0A87">
      <w:pPr>
        <w:rPr>
          <w:rFonts w:ascii="Times New Roman" w:hAnsi="Times New Roman" w:cs="Times New Roman"/>
          <w:b/>
          <w:bCs/>
        </w:rPr>
      </w:pPr>
      <w:r w:rsidRPr="003C0A87">
        <w:rPr>
          <w:rFonts w:ascii="Times New Roman" w:hAnsi="Times New Roman" w:cs="Times New Roman"/>
          <w:b/>
          <w:bCs/>
        </w:rPr>
        <w:t>Conclusion</w:t>
      </w:r>
    </w:p>
    <w:p w14:paraId="6EC3659D" w14:textId="4F069293" w:rsidR="003C0A87" w:rsidRPr="003C0A87" w:rsidRDefault="003C0A87" w:rsidP="003C0A87">
      <w:pPr>
        <w:rPr>
          <w:rFonts w:ascii="Times New Roman" w:hAnsi="Times New Roman" w:cs="Times New Roman"/>
        </w:rPr>
      </w:pPr>
      <w:r w:rsidRPr="003C0A87">
        <w:rPr>
          <w:rFonts w:ascii="Times New Roman" w:hAnsi="Times New Roman" w:cs="Times New Roman"/>
        </w:rPr>
        <w:t xml:space="preserve">AFR strongly opposes H.R. 8339, H.J. Res 100, and H.R. 4551 as the bills would weaken the SEC’s ability to issue rules, carry out its investor protection and market integrity mandates, and bring necessary enforcement against bad actors. </w:t>
      </w:r>
    </w:p>
    <w:p w14:paraId="591E3C5B" w14:textId="77777777" w:rsidR="003C0A87" w:rsidRPr="003C0A87" w:rsidRDefault="003C0A87" w:rsidP="003C0A87">
      <w:pPr>
        <w:rPr>
          <w:rFonts w:ascii="Times New Roman" w:hAnsi="Times New Roman" w:cs="Times New Roman"/>
        </w:rPr>
      </w:pPr>
      <w:r w:rsidRPr="003C0A87">
        <w:rPr>
          <w:rFonts w:ascii="Times New Roman" w:hAnsi="Times New Roman" w:cs="Times New Roman"/>
        </w:rPr>
        <w:t xml:space="preserve">For any additional questions please do not hesitate to reach out to Andrew Park at </w:t>
      </w:r>
      <w:hyperlink r:id="rId8" w:history="1">
        <w:r w:rsidRPr="003C0A87">
          <w:rPr>
            <w:rStyle w:val="Hyperlink"/>
            <w:rFonts w:ascii="Times New Roman" w:hAnsi="Times New Roman" w:cs="Times New Roman"/>
          </w:rPr>
          <w:t>andrew@ourfinancialsecurity.org</w:t>
        </w:r>
      </w:hyperlink>
    </w:p>
    <w:p w14:paraId="77FE66DE" w14:textId="77777777" w:rsidR="003C0A87" w:rsidRPr="003C0A87" w:rsidRDefault="003C0A87" w:rsidP="003C0A87">
      <w:pPr>
        <w:rPr>
          <w:rFonts w:ascii="Times New Roman" w:hAnsi="Times New Roman" w:cs="Times New Roman"/>
        </w:rPr>
      </w:pPr>
    </w:p>
    <w:p w14:paraId="75BD3D7E" w14:textId="77777777" w:rsidR="003C0A87" w:rsidRPr="003C0A87" w:rsidRDefault="003C0A87" w:rsidP="00E06BCF">
      <w:pPr>
        <w:spacing w:line="240" w:lineRule="auto"/>
        <w:contextualSpacing/>
        <w:rPr>
          <w:rFonts w:ascii="Times New Roman" w:hAnsi="Times New Roman" w:cs="Times New Roman"/>
        </w:rPr>
      </w:pPr>
      <w:r w:rsidRPr="003C0A87">
        <w:rPr>
          <w:rFonts w:ascii="Times New Roman" w:hAnsi="Times New Roman" w:cs="Times New Roman"/>
        </w:rPr>
        <w:t>Sincerely,</w:t>
      </w:r>
    </w:p>
    <w:p w14:paraId="77ED0BDF" w14:textId="77777777" w:rsidR="003C0A87" w:rsidRPr="003C0A87" w:rsidRDefault="003C0A87" w:rsidP="00E06BCF">
      <w:pPr>
        <w:spacing w:line="240" w:lineRule="auto"/>
        <w:contextualSpacing/>
        <w:rPr>
          <w:rFonts w:ascii="Times New Roman" w:hAnsi="Times New Roman" w:cs="Times New Roman"/>
        </w:rPr>
      </w:pPr>
      <w:r w:rsidRPr="003C0A87">
        <w:rPr>
          <w:rFonts w:ascii="Times New Roman" w:hAnsi="Times New Roman" w:cs="Times New Roman"/>
        </w:rPr>
        <w:br/>
        <w:t>Americans for Financial Reform</w:t>
      </w:r>
    </w:p>
    <w:p w14:paraId="19A42E1B" w14:textId="77777777" w:rsidR="00411D74" w:rsidRDefault="00411D74" w:rsidP="00833F1E">
      <w:pPr>
        <w:rPr>
          <w:rFonts w:ascii="Times New Roman" w:hAnsi="Times New Roman" w:cs="Times New Roman"/>
        </w:rPr>
      </w:pPr>
    </w:p>
    <w:p w14:paraId="2C251438" w14:textId="2B72C911" w:rsidR="00E06BCF" w:rsidRPr="00003CF8" w:rsidRDefault="00E06BCF" w:rsidP="00833F1E">
      <w:pPr>
        <w:rPr>
          <w:rFonts w:ascii="Times New Roman" w:hAnsi="Times New Roman" w:cs="Times New Roman"/>
        </w:rPr>
      </w:pPr>
      <w:r>
        <w:rPr>
          <w:rFonts w:ascii="Times New Roman" w:hAnsi="Times New Roman" w:cs="Times New Roman"/>
        </w:rPr>
        <w:tab/>
        <w:t>CC:</w:t>
      </w:r>
      <w:r>
        <w:rPr>
          <w:rFonts w:ascii="Times New Roman" w:hAnsi="Times New Roman" w:cs="Times New Roman"/>
        </w:rPr>
        <w:tab/>
        <w:t>Members of the U.S. House Financial Services Committee</w:t>
      </w:r>
    </w:p>
    <w:sectPr w:rsidR="00E06BCF" w:rsidRPr="00003CF8" w:rsidSect="00096B9D">
      <w:headerReference w:type="default" r:id="rId9"/>
      <w:footerReference w:type="default" r:id="rId10"/>
      <w:headerReference w:type="first" r:id="rId11"/>
      <w:pgSz w:w="12240" w:h="15840"/>
      <w:pgMar w:top="1440" w:right="1440" w:bottom="1440" w:left="144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883C2" w14:textId="77777777" w:rsidR="00A8571E" w:rsidRDefault="00A8571E" w:rsidP="00CB6617">
      <w:pPr>
        <w:spacing w:after="0" w:line="240" w:lineRule="auto"/>
      </w:pPr>
      <w:r>
        <w:separator/>
      </w:r>
    </w:p>
  </w:endnote>
  <w:endnote w:type="continuationSeparator" w:id="0">
    <w:p w14:paraId="77988B0F" w14:textId="77777777" w:rsidR="00A8571E" w:rsidRDefault="00A8571E" w:rsidP="00CB6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240190"/>
      <w:docPartObj>
        <w:docPartGallery w:val="Page Numbers (Bottom of Page)"/>
        <w:docPartUnique/>
      </w:docPartObj>
    </w:sdtPr>
    <w:sdtEndPr>
      <w:rPr>
        <w:noProof/>
      </w:rPr>
    </w:sdtEndPr>
    <w:sdtContent>
      <w:p w14:paraId="66F02E08" w14:textId="45D8B2D9" w:rsidR="003C0A87" w:rsidRDefault="003C0A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806A95" w14:textId="77777777" w:rsidR="003C0A87" w:rsidRDefault="003C0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8C73A" w14:textId="77777777" w:rsidR="00A8571E" w:rsidRDefault="00A8571E" w:rsidP="00CB6617">
      <w:pPr>
        <w:spacing w:after="0" w:line="240" w:lineRule="auto"/>
      </w:pPr>
      <w:r>
        <w:separator/>
      </w:r>
    </w:p>
  </w:footnote>
  <w:footnote w:type="continuationSeparator" w:id="0">
    <w:p w14:paraId="3F3F1B1A" w14:textId="77777777" w:rsidR="00A8571E" w:rsidRDefault="00A8571E" w:rsidP="00CB6617">
      <w:pPr>
        <w:spacing w:after="0" w:line="240" w:lineRule="auto"/>
      </w:pPr>
      <w:r>
        <w:continuationSeparator/>
      </w:r>
    </w:p>
  </w:footnote>
  <w:footnote w:id="1">
    <w:p w14:paraId="7EEA7EBC" w14:textId="66F38352" w:rsidR="00722EF8" w:rsidRPr="00E06BCF" w:rsidRDefault="00722EF8" w:rsidP="00722EF8">
      <w:pPr>
        <w:pStyle w:val="FootnoteText"/>
        <w:rPr>
          <w:rFonts w:ascii="Times New Roman" w:hAnsi="Times New Roman" w:cs="Times New Roman"/>
        </w:rPr>
      </w:pPr>
      <w:r w:rsidRPr="00E06BCF">
        <w:rPr>
          <w:rStyle w:val="FootnoteReference"/>
          <w:rFonts w:ascii="Times New Roman" w:hAnsi="Times New Roman" w:cs="Times New Roman"/>
        </w:rPr>
        <w:footnoteRef/>
      </w:r>
      <w:r w:rsidRPr="00E06BCF">
        <w:rPr>
          <w:rFonts w:ascii="Times New Roman" w:hAnsi="Times New Roman" w:cs="Times New Roman"/>
        </w:rPr>
        <w:t xml:space="preserve"> </w:t>
      </w:r>
      <w:hyperlink r:id="rId1" w:history="1">
        <w:r w:rsidR="00E06BCF" w:rsidRPr="003B0B36">
          <w:rPr>
            <w:rStyle w:val="Hyperlink"/>
            <w:rFonts w:ascii="Times New Roman" w:hAnsi="Times New Roman" w:cs="Times New Roman"/>
          </w:rPr>
          <w:t>https://docs.house.gov/meetings/BA/BA00/20240516/117322/BILLS-118-HR8339-A000370-Amdt-5.pdf</w:t>
        </w:r>
      </w:hyperlink>
      <w:r w:rsidR="00E06BCF">
        <w:rPr>
          <w:rFonts w:ascii="Times New Roman" w:hAnsi="Times New Roman" w:cs="Times New Roman"/>
        </w:rPr>
        <w:t xml:space="preserve"> </w:t>
      </w:r>
    </w:p>
  </w:footnote>
  <w:footnote w:id="2">
    <w:p w14:paraId="24F9D0D3" w14:textId="77777777" w:rsidR="00CA434D" w:rsidRDefault="00CA434D" w:rsidP="00CA434D">
      <w:pPr>
        <w:pStyle w:val="FootnoteText"/>
        <w:rPr>
          <w:rFonts w:ascii="Times New Roman" w:hAnsi="Times New Roman" w:cs="Times New Roman"/>
        </w:rPr>
      </w:pPr>
      <w:r w:rsidRPr="00A6408B">
        <w:rPr>
          <w:rStyle w:val="FootnoteReference"/>
          <w:rFonts w:ascii="Times New Roman" w:hAnsi="Times New Roman" w:cs="Times New Roman"/>
        </w:rPr>
        <w:footnoteRef/>
      </w:r>
      <w:r w:rsidRPr="00A6408B">
        <w:rPr>
          <w:rFonts w:ascii="Times New Roman" w:hAnsi="Times New Roman" w:cs="Times New Roman"/>
        </w:rPr>
        <w:t xml:space="preserve"> For purposes of this letter, H.R. 8339 refers to the Amendment </w:t>
      </w:r>
      <w:proofErr w:type="gramStart"/>
      <w:r w:rsidRPr="00A6408B">
        <w:rPr>
          <w:rFonts w:ascii="Times New Roman" w:hAnsi="Times New Roman" w:cs="Times New Roman"/>
        </w:rPr>
        <w:t>in the Nature of a</w:t>
      </w:r>
      <w:proofErr w:type="gramEnd"/>
      <w:r w:rsidRPr="00A6408B">
        <w:rPr>
          <w:rFonts w:ascii="Times New Roman" w:hAnsi="Times New Roman" w:cs="Times New Roman"/>
        </w:rPr>
        <w:t xml:space="preserve"> Substitute or “ANS” that will be voted on by the HFSC.  The ANS is a compilation of seven bills introduced in the 118</w:t>
      </w:r>
      <w:r w:rsidRPr="00A6408B">
        <w:rPr>
          <w:rFonts w:ascii="Times New Roman" w:hAnsi="Times New Roman" w:cs="Times New Roman"/>
          <w:vertAlign w:val="superscript"/>
        </w:rPr>
        <w:t>th</w:t>
      </w:r>
      <w:r w:rsidRPr="00A6408B">
        <w:rPr>
          <w:rFonts w:ascii="Times New Roman" w:hAnsi="Times New Roman" w:cs="Times New Roman"/>
        </w:rPr>
        <w:t xml:space="preserve"> Congress. The bills are (1) H.R. 8239, the SEC Regulatory Accountability Act; (2) H.R. 8241, the SEC Transparency Act; (3) H.R. 8240, the SEC Cybersecurity Act; (4) H.R. 7030, the REG Act of 2024; (5) H.R. 8228, the Streamlining Public Company Accounting Oversight Act; (6) H.R. 8226, To require the Comptroller General of the United States to carry out a study regarding major rules issued by the Securities and Exchange Commission; and (7) H.R. 8255, To establish a minimum public comment period with respect to proposed rules issued by the Securities and Exchange Commission.</w:t>
      </w:r>
    </w:p>
    <w:p w14:paraId="1B393628" w14:textId="77777777" w:rsidR="00B305F1" w:rsidRPr="00A6408B" w:rsidRDefault="00B305F1" w:rsidP="00CA434D">
      <w:pPr>
        <w:pStyle w:val="FootnoteText"/>
        <w:rPr>
          <w:rFonts w:ascii="Times New Roman" w:hAnsi="Times New Roman" w:cs="Times New Roman"/>
        </w:rPr>
      </w:pPr>
    </w:p>
  </w:footnote>
  <w:footnote w:id="3">
    <w:p w14:paraId="00E1B2F9" w14:textId="4DB9A703" w:rsidR="001F7F80" w:rsidRPr="00AF0841" w:rsidRDefault="001F7F80" w:rsidP="006E4665">
      <w:pPr>
        <w:pStyle w:val="FootnoteText"/>
        <w:rPr>
          <w:rFonts w:ascii="Times New Roman" w:hAnsi="Times New Roman" w:cs="Times New Roman"/>
        </w:rPr>
      </w:pPr>
      <w:r w:rsidRPr="00AF0841">
        <w:rPr>
          <w:rStyle w:val="FootnoteReference"/>
          <w:rFonts w:ascii="Times New Roman" w:hAnsi="Times New Roman" w:cs="Times New Roman"/>
        </w:rPr>
        <w:footnoteRef/>
      </w:r>
      <w:r w:rsidRPr="00AF0841">
        <w:rPr>
          <w:rFonts w:ascii="Times New Roman" w:hAnsi="Times New Roman" w:cs="Times New Roman"/>
        </w:rPr>
        <w:t xml:space="preserve"> </w:t>
      </w:r>
      <w:r w:rsidR="00E31513" w:rsidRPr="00AF0841">
        <w:rPr>
          <w:rFonts w:ascii="Times New Roman" w:hAnsi="Times New Roman" w:cs="Times New Roman"/>
        </w:rPr>
        <w:t>“</w:t>
      </w:r>
      <w:r w:rsidRPr="00AF0841">
        <w:rPr>
          <w:rFonts w:ascii="Times New Roman" w:hAnsi="Times New Roman" w:cs="Times New Roman"/>
        </w:rPr>
        <w:t xml:space="preserve">Quantified CBA of such rules can be no more than </w:t>
      </w:r>
      <w:r w:rsidR="00E31513" w:rsidRPr="00AF0841">
        <w:rPr>
          <w:rFonts w:ascii="Times New Roman" w:hAnsi="Times New Roman" w:cs="Times New Roman"/>
        </w:rPr>
        <w:t>‘</w:t>
      </w:r>
      <w:r w:rsidRPr="00AF0841">
        <w:rPr>
          <w:rFonts w:ascii="Times New Roman" w:hAnsi="Times New Roman" w:cs="Times New Roman"/>
        </w:rPr>
        <w:t>guesstimated,</w:t>
      </w:r>
      <w:r w:rsidR="00E31513" w:rsidRPr="00AF0841">
        <w:rPr>
          <w:rFonts w:ascii="Times New Roman" w:hAnsi="Times New Roman" w:cs="Times New Roman"/>
        </w:rPr>
        <w:t>’</w:t>
      </w:r>
      <w:r w:rsidRPr="00AF0841">
        <w:rPr>
          <w:rFonts w:ascii="Times New Roman" w:hAnsi="Times New Roman" w:cs="Times New Roman"/>
        </w:rPr>
        <w:t xml:space="preserve"> as it entails (a) causal inferences that are unreliable under standard regulatory conditions; (b) the use of problematic data; and/or (c) the same contestable, assumption-sensitive macroeconomic and/or political modeling used to make monetary policy, which even CBA advocates would exempt from CBA laws. Expert judgment remains an inevitable part of what advocates label “gold-standard” quantified CBA, because finance is central to the economy, is social and political, and is non-stationary. Judicial review of quantified CBA can be expected to do more to camouflage discretionary choices than to discipline agencies or promote democracy.</w:t>
      </w:r>
      <w:r w:rsidR="00E31513" w:rsidRPr="00AF0841">
        <w:rPr>
          <w:rFonts w:ascii="Times New Roman" w:hAnsi="Times New Roman" w:cs="Times New Roman"/>
        </w:rPr>
        <w:t xml:space="preserve"> (</w:t>
      </w:r>
      <w:r w:rsidR="005D2ADA" w:rsidRPr="00AF0841">
        <w:rPr>
          <w:rFonts w:ascii="Times New Roman" w:hAnsi="Times New Roman" w:cs="Times New Roman"/>
        </w:rPr>
        <w:t>“Cost-Benefit Analysis of Financial Regulation: Case Studies and Implications.” John C. Coates IV</w:t>
      </w:r>
      <w:r w:rsidR="006E4665" w:rsidRPr="00AF0841">
        <w:rPr>
          <w:rFonts w:ascii="Times New Roman" w:hAnsi="Times New Roman" w:cs="Times New Roman"/>
        </w:rPr>
        <w:t xml:space="preserve">.  The Yale Law Journal.  </w:t>
      </w:r>
      <w:r w:rsidR="00B305F1" w:rsidRPr="00AF0841">
        <w:rPr>
          <w:rFonts w:ascii="Times New Roman" w:hAnsi="Times New Roman" w:cs="Times New Roman"/>
        </w:rPr>
        <w:t>Jan</w:t>
      </w:r>
      <w:r w:rsidR="006E4665" w:rsidRPr="00AF0841">
        <w:rPr>
          <w:rFonts w:ascii="Times New Roman" w:hAnsi="Times New Roman" w:cs="Times New Roman"/>
        </w:rPr>
        <w:t xml:space="preserve">. 2015. </w:t>
      </w:r>
      <w:r w:rsidR="00B305F1" w:rsidRPr="00AF0841">
        <w:rPr>
          <w:rFonts w:ascii="Times New Roman" w:hAnsi="Times New Roman" w:cs="Times New Roman"/>
        </w:rPr>
        <w:t xml:space="preserve"> Accessible at </w:t>
      </w:r>
      <w:hyperlink r:id="rId2" w:history="1">
        <w:r w:rsidR="00B305F1" w:rsidRPr="00AF0841">
          <w:rPr>
            <w:rStyle w:val="Hyperlink"/>
            <w:rFonts w:ascii="Times New Roman" w:hAnsi="Times New Roman" w:cs="Times New Roman"/>
          </w:rPr>
          <w:t>https://www.yalelawjournal.org/issue/issue/volume-124-issue-4-january-2015</w:t>
        </w:r>
      </w:hyperlink>
      <w:r w:rsidR="00B305F1" w:rsidRPr="00AF0841">
        <w:rPr>
          <w:rFonts w:ascii="Times New Roman" w:hAnsi="Times New Roman" w:cs="Times New Roman"/>
        </w:rPr>
        <w:t xml:space="preserve"> )</w:t>
      </w:r>
    </w:p>
    <w:p w14:paraId="1DF4F757" w14:textId="77777777" w:rsidR="00DD5D11" w:rsidRDefault="00DD5D11" w:rsidP="006E4665">
      <w:pPr>
        <w:pStyle w:val="FootnoteText"/>
      </w:pPr>
    </w:p>
  </w:footnote>
  <w:footnote w:id="4">
    <w:p w14:paraId="4DB48ED5" w14:textId="351FE133" w:rsidR="00DD5D11" w:rsidRPr="00C92B9E" w:rsidRDefault="00DD5D11">
      <w:pPr>
        <w:pStyle w:val="FootnoteText"/>
        <w:rPr>
          <w:rFonts w:ascii="Times New Roman" w:hAnsi="Times New Roman" w:cs="Times New Roman"/>
        </w:rPr>
      </w:pPr>
      <w:r w:rsidRPr="00C92B9E">
        <w:rPr>
          <w:rStyle w:val="FootnoteReference"/>
          <w:rFonts w:ascii="Times New Roman" w:hAnsi="Times New Roman" w:cs="Times New Roman"/>
        </w:rPr>
        <w:footnoteRef/>
      </w:r>
      <w:r w:rsidRPr="00C92B9E">
        <w:rPr>
          <w:rFonts w:ascii="Times New Roman" w:hAnsi="Times New Roman" w:cs="Times New Roman"/>
        </w:rPr>
        <w:t xml:space="preserve"> Nagy, Donna M. Indiana University Maurer School of Law. The Costs of Mandatory Cost-Benefit Analysis in SEC Rulemaking. 2015. </w:t>
      </w:r>
      <w:hyperlink r:id="rId3" w:history="1">
        <w:r w:rsidRPr="00C92B9E">
          <w:rPr>
            <w:rStyle w:val="Hyperlink"/>
            <w:rFonts w:ascii="Times New Roman" w:hAnsi="Times New Roman" w:cs="Times New Roman"/>
          </w:rPr>
          <w:t>https://www.repository.law.indiana.edu/facpub/2162</w:t>
        </w:r>
      </w:hyperlink>
      <w:r w:rsidRPr="00C92B9E">
        <w:rPr>
          <w:rFonts w:ascii="Times New Roman" w:hAnsi="Times New Roman" w:cs="Times New Roman"/>
        </w:rPr>
        <w:t xml:space="preserve"> </w:t>
      </w:r>
    </w:p>
    <w:p w14:paraId="1CE89A10" w14:textId="77777777" w:rsidR="00544906" w:rsidRDefault="00544906">
      <w:pPr>
        <w:pStyle w:val="FootnoteText"/>
      </w:pPr>
    </w:p>
  </w:footnote>
  <w:footnote w:id="5">
    <w:p w14:paraId="52C347EB" w14:textId="73E05BD9" w:rsidR="00674535" w:rsidRPr="00A6408B" w:rsidRDefault="00674535">
      <w:pPr>
        <w:pStyle w:val="FootnoteText"/>
        <w:rPr>
          <w:rFonts w:ascii="Times New Roman" w:hAnsi="Times New Roman" w:cs="Times New Roman"/>
        </w:rPr>
      </w:pPr>
      <w:r w:rsidRPr="00A6408B">
        <w:rPr>
          <w:rStyle w:val="FootnoteReference"/>
          <w:rFonts w:ascii="Times New Roman" w:hAnsi="Times New Roman" w:cs="Times New Roman"/>
        </w:rPr>
        <w:footnoteRef/>
      </w:r>
      <w:r w:rsidRPr="00A6408B">
        <w:rPr>
          <w:rFonts w:ascii="Times New Roman" w:hAnsi="Times New Roman" w:cs="Times New Roman"/>
        </w:rPr>
        <w:t xml:space="preserve"> </w:t>
      </w:r>
      <w:r w:rsidR="00544906">
        <w:rPr>
          <w:rFonts w:ascii="Times New Roman" w:hAnsi="Times New Roman" w:cs="Times New Roman"/>
        </w:rPr>
        <w:t>“</w:t>
      </w:r>
      <w:r w:rsidR="00544906" w:rsidRPr="00544906">
        <w:rPr>
          <w:rFonts w:ascii="Times New Roman" w:hAnsi="Times New Roman" w:cs="Times New Roman"/>
        </w:rPr>
        <w:t xml:space="preserve">Chair Gensler’s frenetic, partisan rulemaking agenda at the SEC has threatened the health of U.S. capital markets and highlights the need for targeted institutional reform. </w:t>
      </w:r>
      <w:r w:rsidR="008A52D1">
        <w:rPr>
          <w:rFonts w:ascii="Times New Roman" w:hAnsi="Times New Roman" w:cs="Times New Roman"/>
        </w:rPr>
        <w:t xml:space="preserve">[Since] </w:t>
      </w:r>
      <w:r w:rsidR="008A52D1" w:rsidRPr="008A52D1">
        <w:rPr>
          <w:rFonts w:ascii="Times New Roman" w:hAnsi="Times New Roman" w:cs="Times New Roman"/>
        </w:rPr>
        <w:t>since taking office in 2021, Chair Gensler has flooded the marketplace with roughly 60 new proposals and more than 30 final rules.</w:t>
      </w:r>
      <w:r w:rsidR="002E0567">
        <w:rPr>
          <w:rFonts w:ascii="Times New Roman" w:hAnsi="Times New Roman" w:cs="Times New Roman"/>
        </w:rPr>
        <w:t xml:space="preserve"> </w:t>
      </w:r>
      <w:r w:rsidR="002E0567" w:rsidRPr="002E0567">
        <w:rPr>
          <w:rFonts w:ascii="Times New Roman" w:hAnsi="Times New Roman" w:cs="Times New Roman"/>
        </w:rPr>
        <w:t>Chair Gensler’s frenetic, partisan rulemaking agenda at the SEC has threatened the health of U.S. capital markets and highlights the need for targeted institutional reform.</w:t>
      </w:r>
      <w:r w:rsidR="002E0567">
        <w:rPr>
          <w:rFonts w:ascii="Times New Roman" w:hAnsi="Times New Roman" w:cs="Times New Roman"/>
        </w:rPr>
        <w:t>”</w:t>
      </w:r>
      <w:r w:rsidR="00635F5E">
        <w:rPr>
          <w:rFonts w:ascii="Times New Roman" w:hAnsi="Times New Roman" w:cs="Times New Roman"/>
        </w:rPr>
        <w:t xml:space="preserve">  Opening statement of Rep. Ann Wagner (R-MO) at a hearing </w:t>
      </w:r>
      <w:r w:rsidR="00635F5E" w:rsidRPr="00635F5E">
        <w:rPr>
          <w:rFonts w:ascii="Times New Roman" w:hAnsi="Times New Roman" w:cs="Times New Roman"/>
        </w:rPr>
        <w:t>entitled, “SEC Overreach: Examining the Need for Reform.”</w:t>
      </w:r>
      <w:r w:rsidR="00635F5E">
        <w:rPr>
          <w:rFonts w:ascii="Times New Roman" w:hAnsi="Times New Roman" w:cs="Times New Roman"/>
        </w:rPr>
        <w:t xml:space="preserve">  March 20, 2024.  Accessible at </w:t>
      </w:r>
      <w:r w:rsidR="00544906">
        <w:rPr>
          <w:rFonts w:ascii="Times New Roman" w:hAnsi="Times New Roman" w:cs="Times New Roman"/>
        </w:rPr>
        <w:br/>
      </w:r>
    </w:p>
  </w:footnote>
  <w:footnote w:id="6">
    <w:p w14:paraId="2F2BD027" w14:textId="24E43A59" w:rsidR="00FB47A8" w:rsidRDefault="00FB47A8">
      <w:pPr>
        <w:pStyle w:val="FootnoteText"/>
      </w:pPr>
      <w:r w:rsidRPr="00A6408B">
        <w:rPr>
          <w:rStyle w:val="FootnoteReference"/>
          <w:rFonts w:ascii="Times New Roman" w:hAnsi="Times New Roman" w:cs="Times New Roman"/>
        </w:rPr>
        <w:footnoteRef/>
      </w:r>
      <w:r w:rsidRPr="00A6408B">
        <w:rPr>
          <w:rFonts w:ascii="Times New Roman" w:hAnsi="Times New Roman" w:cs="Times New Roman"/>
        </w:rPr>
        <w:t xml:space="preserve"> </w:t>
      </w:r>
      <w:r w:rsidR="00F61695">
        <w:rPr>
          <w:rFonts w:ascii="Times New Roman" w:hAnsi="Times New Roman" w:cs="Times New Roman"/>
        </w:rPr>
        <w:t>Id. (Nagy)</w:t>
      </w:r>
    </w:p>
  </w:footnote>
  <w:footnote w:id="7">
    <w:p w14:paraId="0F2C92E4" w14:textId="77777777" w:rsidR="00B25630" w:rsidRPr="00E06BCF" w:rsidRDefault="00B25630" w:rsidP="00B25630">
      <w:pPr>
        <w:pStyle w:val="FootnoteText"/>
        <w:rPr>
          <w:rFonts w:ascii="Times New Roman" w:hAnsi="Times New Roman" w:cs="Times New Roman"/>
        </w:rPr>
      </w:pPr>
      <w:r w:rsidRPr="00E06BCF">
        <w:rPr>
          <w:rStyle w:val="FootnoteReference"/>
          <w:rFonts w:ascii="Times New Roman" w:hAnsi="Times New Roman" w:cs="Times New Roman"/>
        </w:rPr>
        <w:footnoteRef/>
      </w:r>
      <w:r w:rsidRPr="00E06BCF">
        <w:rPr>
          <w:rFonts w:ascii="Times New Roman" w:hAnsi="Times New Roman" w:cs="Times New Roman"/>
        </w:rPr>
        <w:t xml:space="preserve"> We also note that former PCAOB board members and others have warned that consolidating the two agencies would only save a marginal amount of money while leaving the SEC ill equipped to examine audit firms since the SEC and PCAOB pursue very different cases and the staff of the PCAOB are specifically hired to supervise the audits of accounting firms.  Id. </w:t>
      </w:r>
    </w:p>
  </w:footnote>
  <w:footnote w:id="8">
    <w:p w14:paraId="0DABD49A" w14:textId="7C3DB6D3" w:rsidR="001811D0" w:rsidRPr="00E06BCF" w:rsidRDefault="001811D0" w:rsidP="001811D0">
      <w:pPr>
        <w:pStyle w:val="FootnoteText"/>
        <w:rPr>
          <w:rFonts w:ascii="Times New Roman" w:hAnsi="Times New Roman" w:cs="Times New Roman"/>
        </w:rPr>
      </w:pPr>
      <w:r w:rsidRPr="001D5948">
        <w:rPr>
          <w:rStyle w:val="FootnoteReference"/>
          <w:rFonts w:ascii="Times New Roman" w:hAnsi="Times New Roman" w:cs="Times New Roman"/>
        </w:rPr>
        <w:footnoteRef/>
      </w:r>
      <w:r w:rsidRPr="001D5948">
        <w:rPr>
          <w:rFonts w:ascii="Times New Roman" w:hAnsi="Times New Roman" w:cs="Times New Roman"/>
        </w:rPr>
        <w:t xml:space="preserve"> </w:t>
      </w:r>
      <w:r w:rsidR="001D5948">
        <w:rPr>
          <w:rFonts w:ascii="Times New Roman" w:hAnsi="Times New Roman" w:cs="Times New Roman"/>
        </w:rPr>
        <w:t xml:space="preserve">(i.e., </w:t>
      </w:r>
      <w:r w:rsidRPr="001D5948">
        <w:rPr>
          <w:rFonts w:ascii="Times New Roman" w:hAnsi="Times New Roman" w:cs="Times New Roman"/>
        </w:rPr>
        <w:t>data used to track market activity).</w:t>
      </w:r>
    </w:p>
  </w:footnote>
  <w:footnote w:id="9">
    <w:p w14:paraId="3D8D37E2" w14:textId="77777777" w:rsidR="008A2F3C" w:rsidRPr="00E06BCF" w:rsidRDefault="008A2F3C" w:rsidP="008A2F3C">
      <w:pPr>
        <w:pStyle w:val="FootnoteText"/>
        <w:rPr>
          <w:rFonts w:ascii="Times New Roman" w:hAnsi="Times New Roman" w:cs="Times New Roman"/>
        </w:rPr>
      </w:pPr>
      <w:r w:rsidRPr="00E06BCF">
        <w:rPr>
          <w:rStyle w:val="FootnoteReference"/>
          <w:rFonts w:ascii="Times New Roman" w:hAnsi="Times New Roman" w:cs="Times New Roman"/>
        </w:rPr>
        <w:footnoteRef/>
      </w:r>
      <w:r w:rsidRPr="00E06BCF">
        <w:rPr>
          <w:rFonts w:ascii="Times New Roman" w:hAnsi="Times New Roman" w:cs="Times New Roman"/>
        </w:rPr>
        <w:t xml:space="preserve"> Financial Industry Regulatory Authority. Consolidated Audit Trail. </w:t>
      </w:r>
      <w:hyperlink r:id="rId4" w:history="1">
        <w:r w:rsidRPr="00E06BCF">
          <w:rPr>
            <w:rStyle w:val="Hyperlink"/>
            <w:rFonts w:ascii="Times New Roman" w:hAnsi="Times New Roman" w:cs="Times New Roman"/>
          </w:rPr>
          <w:t>https://catnmsplan.com/</w:t>
        </w:r>
      </w:hyperlink>
      <w:r w:rsidRPr="00E06BCF">
        <w:rPr>
          <w:rFonts w:ascii="Times New Roman" w:hAnsi="Times New Roman" w:cs="Times New Roman"/>
        </w:rPr>
        <w:t xml:space="preserve"> </w:t>
      </w:r>
    </w:p>
  </w:footnote>
  <w:footnote w:id="10">
    <w:p w14:paraId="14A5BBB5" w14:textId="669BC2A0" w:rsidR="00CD03F8" w:rsidRPr="00E06BCF" w:rsidRDefault="00CD03F8" w:rsidP="00CD03F8">
      <w:pPr>
        <w:pStyle w:val="FootnoteText"/>
        <w:rPr>
          <w:rFonts w:ascii="Times New Roman" w:hAnsi="Times New Roman" w:cs="Times New Roman"/>
        </w:rPr>
      </w:pPr>
      <w:r w:rsidRPr="00E06BCF">
        <w:rPr>
          <w:rStyle w:val="FootnoteReference"/>
          <w:rFonts w:ascii="Times New Roman" w:hAnsi="Times New Roman" w:cs="Times New Roman"/>
        </w:rPr>
        <w:footnoteRef/>
      </w:r>
      <w:r w:rsidRPr="00E06BCF">
        <w:rPr>
          <w:rFonts w:ascii="Times New Roman" w:hAnsi="Times New Roman" w:cs="Times New Roman"/>
        </w:rPr>
        <w:t xml:space="preserve"> Chair Gary Gensler. Securities and Exchange Commission. Statement on CAT Funding. Sep 6, 2023. </w:t>
      </w:r>
      <w:hyperlink r:id="rId5" w:history="1">
        <w:r w:rsidRPr="00E06BCF">
          <w:rPr>
            <w:rStyle w:val="Hyperlink"/>
            <w:rFonts w:ascii="Times New Roman" w:hAnsi="Times New Roman" w:cs="Times New Roman"/>
          </w:rPr>
          <w:t>https://www.sec.gov/news/statement/gensler-statement-cat-funding-090623</w:t>
        </w:r>
      </w:hyperlink>
      <w:r w:rsidR="00C003C1" w:rsidRPr="00E06BCF">
        <w:rPr>
          <w:rFonts w:ascii="Times New Roman" w:hAnsi="Times New Roman" w:cs="Times New Roman"/>
        </w:rPr>
        <w:t xml:space="preserve">.  (Another recent example of CAT’s importance to all investors was recently highlighted when Trump Media &amp; Technology Group CEO Devin Nunes asked Congress to use the SEC’s Consolidated Audit Trail to investigate whether other market participants were improperly trading in the share of Trump Media (which combined with Special Purpose Acquisition Company Digital World Acquisition Company). </w:t>
      </w:r>
    </w:p>
  </w:footnote>
  <w:footnote w:id="11">
    <w:p w14:paraId="005FBB0D" w14:textId="626512EB" w:rsidR="001811D0" w:rsidRDefault="001811D0">
      <w:pPr>
        <w:pStyle w:val="FootnoteText"/>
      </w:pPr>
      <w:r w:rsidRPr="00E06BCF">
        <w:rPr>
          <w:rStyle w:val="FootnoteReference"/>
          <w:rFonts w:ascii="Times New Roman" w:hAnsi="Times New Roman" w:cs="Times New Roman"/>
        </w:rPr>
        <w:footnoteRef/>
      </w:r>
      <w:r w:rsidRPr="00E06BCF">
        <w:rPr>
          <w:rFonts w:ascii="Times New Roman" w:hAnsi="Times New Roman" w:cs="Times New Roman"/>
        </w:rPr>
        <w:t xml:space="preserve"> CAT replaced the Order Audit Trail System, which itself was used to identify and subsequently pull trader identities by regulators.</w:t>
      </w:r>
    </w:p>
  </w:footnote>
  <w:footnote w:id="12">
    <w:p w14:paraId="374DA0A3" w14:textId="19E07952" w:rsidR="009D280C" w:rsidRPr="005F73BC" w:rsidRDefault="009D280C">
      <w:pPr>
        <w:pStyle w:val="FootnoteText"/>
        <w:rPr>
          <w:rFonts w:ascii="Times New Roman" w:hAnsi="Times New Roman" w:cs="Times New Roman"/>
        </w:rPr>
      </w:pPr>
      <w:r w:rsidRPr="005F73BC">
        <w:rPr>
          <w:rStyle w:val="FootnoteReference"/>
          <w:rFonts w:ascii="Times New Roman" w:hAnsi="Times New Roman" w:cs="Times New Roman"/>
        </w:rPr>
        <w:footnoteRef/>
      </w:r>
      <w:r w:rsidRPr="005F73BC">
        <w:rPr>
          <w:rFonts w:ascii="Times New Roman" w:hAnsi="Times New Roman" w:cs="Times New Roman"/>
        </w:rPr>
        <w:t xml:space="preserve"> The actual human PII is available upon further investigation, as is contemplated in the legislation.</w:t>
      </w:r>
    </w:p>
  </w:footnote>
  <w:footnote w:id="13">
    <w:p w14:paraId="3C154F35" w14:textId="77777777" w:rsidR="00411D74" w:rsidRPr="005F73BC" w:rsidRDefault="00411D74" w:rsidP="00411D74">
      <w:pPr>
        <w:pStyle w:val="FootnoteText"/>
        <w:rPr>
          <w:rFonts w:ascii="Times New Roman" w:hAnsi="Times New Roman" w:cs="Times New Roman"/>
        </w:rPr>
      </w:pPr>
      <w:r w:rsidRPr="005F73BC">
        <w:rPr>
          <w:rStyle w:val="FootnoteReference"/>
          <w:rFonts w:ascii="Times New Roman" w:hAnsi="Times New Roman" w:cs="Times New Roman"/>
        </w:rPr>
        <w:footnoteRef/>
      </w:r>
      <w:r w:rsidRPr="005F73BC">
        <w:rPr>
          <w:rFonts w:ascii="Times New Roman" w:hAnsi="Times New Roman" w:cs="Times New Roman"/>
        </w:rPr>
        <w:t xml:space="preserve"> Morgan, Steve. Cybersecurity Ventures. Cybercrime To Cost the World $10.5 Trillion Annually By 2025. Nov 13, 2020. </w:t>
      </w:r>
      <w:hyperlink r:id="rId6" w:history="1">
        <w:r w:rsidRPr="005F73BC">
          <w:rPr>
            <w:rStyle w:val="Hyperlink"/>
            <w:rFonts w:ascii="Times New Roman" w:hAnsi="Times New Roman" w:cs="Times New Roman"/>
          </w:rPr>
          <w:t>https://cybersecurityventures.com/cybercrime-damages-6-trillion-by-2021/</w:t>
        </w:r>
      </w:hyperlink>
      <w:r w:rsidRPr="005F73BC">
        <w:rPr>
          <w:rFonts w:ascii="Times New Roman" w:hAnsi="Times New Roman" w:cs="Times New Roman"/>
        </w:rPr>
        <w:t xml:space="preserve"> </w:t>
      </w:r>
    </w:p>
  </w:footnote>
  <w:footnote w:id="14">
    <w:p w14:paraId="188C68F7" w14:textId="77777777" w:rsidR="00411D74" w:rsidRDefault="00411D74" w:rsidP="00411D74">
      <w:pPr>
        <w:pStyle w:val="FootnoteText"/>
      </w:pPr>
      <w:r w:rsidRPr="005F73BC">
        <w:rPr>
          <w:rStyle w:val="FootnoteReference"/>
          <w:rFonts w:ascii="Times New Roman" w:hAnsi="Times New Roman" w:cs="Times New Roman"/>
        </w:rPr>
        <w:footnoteRef/>
      </w:r>
      <w:r w:rsidRPr="005F73BC">
        <w:rPr>
          <w:rFonts w:ascii="Times New Roman" w:hAnsi="Times New Roman" w:cs="Times New Roman"/>
        </w:rPr>
        <w:t xml:space="preserve"> House Committee on Energy and Commerce. What We Learned: Change Healthcare Cyber Attack. May 3, 2024. </w:t>
      </w:r>
      <w:hyperlink r:id="rId7" w:history="1">
        <w:r w:rsidRPr="005F73BC">
          <w:rPr>
            <w:rStyle w:val="Hyperlink"/>
            <w:rFonts w:ascii="Times New Roman" w:hAnsi="Times New Roman" w:cs="Times New Roman"/>
          </w:rPr>
          <w:t>https://energycommerce.house.gov/posts/what-we-learned-change-healthcare-cyber-attack</w:t>
        </w:r>
      </w:hyperlink>
      <w:r>
        <w:t xml:space="preserve"> </w:t>
      </w:r>
    </w:p>
  </w:footnote>
  <w:footnote w:id="15">
    <w:p w14:paraId="35BBEC98" w14:textId="77777777" w:rsidR="003C0A87" w:rsidRPr="00E06BCF" w:rsidRDefault="003C0A87" w:rsidP="003C0A87">
      <w:pPr>
        <w:pStyle w:val="FootnoteText"/>
        <w:rPr>
          <w:rFonts w:ascii="Times New Roman" w:hAnsi="Times New Roman" w:cs="Times New Roman"/>
        </w:rPr>
      </w:pPr>
      <w:r w:rsidRPr="00E06BCF">
        <w:rPr>
          <w:rStyle w:val="FootnoteReference"/>
          <w:rFonts w:ascii="Times New Roman" w:hAnsi="Times New Roman" w:cs="Times New Roman"/>
        </w:rPr>
        <w:footnoteRef/>
      </w:r>
      <w:r w:rsidRPr="00E06BCF">
        <w:rPr>
          <w:rFonts w:ascii="Times New Roman" w:hAnsi="Times New Roman" w:cs="Times New Roman"/>
        </w:rPr>
        <w:t xml:space="preserve"> Mitts, Joshua. Columbia Law School. Re: File No. S7-09-22: Cybersecurity Risk Management, Strategy, Governance, and Incident Disclosure. May 9, 2022. </w:t>
      </w:r>
      <w:hyperlink r:id="rId8" w:history="1">
        <w:r w:rsidRPr="00E06BCF">
          <w:rPr>
            <w:rStyle w:val="Hyperlink"/>
            <w:rFonts w:ascii="Times New Roman" w:hAnsi="Times New Roman" w:cs="Times New Roman"/>
          </w:rPr>
          <w:t>https://www.sec.gov/comments/s7-09-22/s70922-20128280-290826.pdf</w:t>
        </w:r>
      </w:hyperlink>
      <w:r w:rsidRPr="00E06BCF">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B319B" w14:textId="47F313F9" w:rsidR="00096B9D" w:rsidRDefault="00096B9D">
    <w:pPr>
      <w:pStyle w:val="Header"/>
    </w:pPr>
  </w:p>
  <w:p w14:paraId="68013743" w14:textId="669AAC63" w:rsidR="00E06BCF" w:rsidRDefault="00E06B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00A05" w14:textId="0428D6F4" w:rsidR="00E06BCF" w:rsidRDefault="00096B9D">
    <w:pPr>
      <w:pStyle w:val="Header"/>
    </w:pPr>
    <w:r w:rsidRPr="00096B9D">
      <w:drawing>
        <wp:inline distT="0" distB="0" distL="0" distR="0" wp14:anchorId="2DCB04D1" wp14:editId="14A05B7D">
          <wp:extent cx="5943600" cy="1077595"/>
          <wp:effectExtent l="0" t="0" r="0" b="1905"/>
          <wp:docPr id="168874653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746533" name="Picture 1" descr="A close up of a logo&#10;&#10;Description automatically generated"/>
                  <pic:cNvPicPr/>
                </pic:nvPicPr>
                <pic:blipFill>
                  <a:blip r:embed="rId1"/>
                  <a:stretch>
                    <a:fillRect/>
                  </a:stretch>
                </pic:blipFill>
                <pic:spPr>
                  <a:xfrm>
                    <a:off x="0" y="0"/>
                    <a:ext cx="5943600" cy="10775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D3526"/>
    <w:multiLevelType w:val="hybridMultilevel"/>
    <w:tmpl w:val="808866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F73A7F"/>
    <w:multiLevelType w:val="hybridMultilevel"/>
    <w:tmpl w:val="C4D810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7742A5"/>
    <w:multiLevelType w:val="hybridMultilevel"/>
    <w:tmpl w:val="D3B8D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8202807">
    <w:abstractNumId w:val="2"/>
  </w:num>
  <w:num w:numId="2" w16cid:durableId="1086002547">
    <w:abstractNumId w:val="0"/>
  </w:num>
  <w:num w:numId="3" w16cid:durableId="1365670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2B1"/>
    <w:rsid w:val="00003CF8"/>
    <w:rsid w:val="00011DD2"/>
    <w:rsid w:val="0003136C"/>
    <w:rsid w:val="00044854"/>
    <w:rsid w:val="00096B9D"/>
    <w:rsid w:val="000B156C"/>
    <w:rsid w:val="000D5DB9"/>
    <w:rsid w:val="000F067E"/>
    <w:rsid w:val="00104C76"/>
    <w:rsid w:val="001209D1"/>
    <w:rsid w:val="00152538"/>
    <w:rsid w:val="0017603F"/>
    <w:rsid w:val="001811D0"/>
    <w:rsid w:val="00184732"/>
    <w:rsid w:val="00185B37"/>
    <w:rsid w:val="00185BB3"/>
    <w:rsid w:val="00193BE4"/>
    <w:rsid w:val="001A72C0"/>
    <w:rsid w:val="001C23F9"/>
    <w:rsid w:val="001C538B"/>
    <w:rsid w:val="001D5948"/>
    <w:rsid w:val="001F574D"/>
    <w:rsid w:val="001F7F80"/>
    <w:rsid w:val="00202E2D"/>
    <w:rsid w:val="002169DE"/>
    <w:rsid w:val="0026794B"/>
    <w:rsid w:val="00297F4D"/>
    <w:rsid w:val="002E0567"/>
    <w:rsid w:val="002E57C0"/>
    <w:rsid w:val="003308C2"/>
    <w:rsid w:val="00363595"/>
    <w:rsid w:val="0036485C"/>
    <w:rsid w:val="003731B6"/>
    <w:rsid w:val="00375AA8"/>
    <w:rsid w:val="00385684"/>
    <w:rsid w:val="003B3EC9"/>
    <w:rsid w:val="003C0A87"/>
    <w:rsid w:val="003E2AB9"/>
    <w:rsid w:val="003E3886"/>
    <w:rsid w:val="003F3F83"/>
    <w:rsid w:val="004060D1"/>
    <w:rsid w:val="0040615F"/>
    <w:rsid w:val="00411D74"/>
    <w:rsid w:val="00427169"/>
    <w:rsid w:val="00437F09"/>
    <w:rsid w:val="0048613F"/>
    <w:rsid w:val="004A129D"/>
    <w:rsid w:val="004B1B5D"/>
    <w:rsid w:val="004D414F"/>
    <w:rsid w:val="004E241E"/>
    <w:rsid w:val="00544906"/>
    <w:rsid w:val="00552B79"/>
    <w:rsid w:val="00586149"/>
    <w:rsid w:val="005862B1"/>
    <w:rsid w:val="00586E63"/>
    <w:rsid w:val="005B3161"/>
    <w:rsid w:val="005D2ADA"/>
    <w:rsid w:val="005D4E25"/>
    <w:rsid w:val="005F73BC"/>
    <w:rsid w:val="00605022"/>
    <w:rsid w:val="00635F5E"/>
    <w:rsid w:val="006511BA"/>
    <w:rsid w:val="006519B7"/>
    <w:rsid w:val="0065433E"/>
    <w:rsid w:val="00674535"/>
    <w:rsid w:val="006B7FF7"/>
    <w:rsid w:val="006E4665"/>
    <w:rsid w:val="006F5D2D"/>
    <w:rsid w:val="006F6043"/>
    <w:rsid w:val="00706D83"/>
    <w:rsid w:val="00722EF8"/>
    <w:rsid w:val="007A654D"/>
    <w:rsid w:val="007B6013"/>
    <w:rsid w:val="007B6621"/>
    <w:rsid w:val="007D7CD6"/>
    <w:rsid w:val="00800FD0"/>
    <w:rsid w:val="00833F1E"/>
    <w:rsid w:val="0085517E"/>
    <w:rsid w:val="00882515"/>
    <w:rsid w:val="00884194"/>
    <w:rsid w:val="00884A29"/>
    <w:rsid w:val="008A2F3C"/>
    <w:rsid w:val="008A52D1"/>
    <w:rsid w:val="008C692D"/>
    <w:rsid w:val="008D043E"/>
    <w:rsid w:val="008F11FD"/>
    <w:rsid w:val="008F527F"/>
    <w:rsid w:val="00902123"/>
    <w:rsid w:val="00923EB7"/>
    <w:rsid w:val="00971793"/>
    <w:rsid w:val="009735F5"/>
    <w:rsid w:val="00974D16"/>
    <w:rsid w:val="0098585A"/>
    <w:rsid w:val="009A018E"/>
    <w:rsid w:val="009D280C"/>
    <w:rsid w:val="009D5028"/>
    <w:rsid w:val="009D6D3A"/>
    <w:rsid w:val="009E437B"/>
    <w:rsid w:val="00A52F93"/>
    <w:rsid w:val="00A55CC2"/>
    <w:rsid w:val="00A6408B"/>
    <w:rsid w:val="00A64C86"/>
    <w:rsid w:val="00A8144B"/>
    <w:rsid w:val="00A8571E"/>
    <w:rsid w:val="00AB021D"/>
    <w:rsid w:val="00AC2C96"/>
    <w:rsid w:val="00AC5712"/>
    <w:rsid w:val="00AC5B38"/>
    <w:rsid w:val="00AF0841"/>
    <w:rsid w:val="00AF5A52"/>
    <w:rsid w:val="00B07FC6"/>
    <w:rsid w:val="00B172F1"/>
    <w:rsid w:val="00B25630"/>
    <w:rsid w:val="00B305F1"/>
    <w:rsid w:val="00B35C1C"/>
    <w:rsid w:val="00B44FBC"/>
    <w:rsid w:val="00B52279"/>
    <w:rsid w:val="00B560C2"/>
    <w:rsid w:val="00B625CE"/>
    <w:rsid w:val="00B85540"/>
    <w:rsid w:val="00BC1368"/>
    <w:rsid w:val="00BC1C66"/>
    <w:rsid w:val="00BC438C"/>
    <w:rsid w:val="00BD7126"/>
    <w:rsid w:val="00BF231D"/>
    <w:rsid w:val="00C0007C"/>
    <w:rsid w:val="00C003C1"/>
    <w:rsid w:val="00C27872"/>
    <w:rsid w:val="00C507E8"/>
    <w:rsid w:val="00C92B9E"/>
    <w:rsid w:val="00C95B17"/>
    <w:rsid w:val="00CA434D"/>
    <w:rsid w:val="00CB6617"/>
    <w:rsid w:val="00CD03F8"/>
    <w:rsid w:val="00CE2412"/>
    <w:rsid w:val="00D2030D"/>
    <w:rsid w:val="00D32861"/>
    <w:rsid w:val="00D94A91"/>
    <w:rsid w:val="00DB207E"/>
    <w:rsid w:val="00DD5D11"/>
    <w:rsid w:val="00E06BCF"/>
    <w:rsid w:val="00E159E9"/>
    <w:rsid w:val="00E31513"/>
    <w:rsid w:val="00E5717D"/>
    <w:rsid w:val="00E77832"/>
    <w:rsid w:val="00F165B2"/>
    <w:rsid w:val="00F474FB"/>
    <w:rsid w:val="00F52626"/>
    <w:rsid w:val="00F61695"/>
    <w:rsid w:val="00F70BB8"/>
    <w:rsid w:val="00F8164E"/>
    <w:rsid w:val="00F9303B"/>
    <w:rsid w:val="00FB3984"/>
    <w:rsid w:val="00FB47A8"/>
    <w:rsid w:val="00FC4757"/>
    <w:rsid w:val="00FE5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B8FA5"/>
  <w15:chartTrackingRefBased/>
  <w15:docId w15:val="{DE843653-3F5B-4D3E-BD50-03F646396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6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6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62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62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62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62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2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2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2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2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62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62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62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62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62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2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2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2B1"/>
    <w:rPr>
      <w:rFonts w:eastAsiaTheme="majorEastAsia" w:cstheme="majorBidi"/>
      <w:color w:val="272727" w:themeColor="text1" w:themeTint="D8"/>
    </w:rPr>
  </w:style>
  <w:style w:type="paragraph" w:styleId="Title">
    <w:name w:val="Title"/>
    <w:basedOn w:val="Normal"/>
    <w:next w:val="Normal"/>
    <w:link w:val="TitleChar"/>
    <w:uiPriority w:val="10"/>
    <w:qFormat/>
    <w:rsid w:val="00586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2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2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2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2B1"/>
    <w:pPr>
      <w:spacing w:before="160"/>
      <w:jc w:val="center"/>
    </w:pPr>
    <w:rPr>
      <w:i/>
      <w:iCs/>
      <w:color w:val="404040" w:themeColor="text1" w:themeTint="BF"/>
    </w:rPr>
  </w:style>
  <w:style w:type="character" w:customStyle="1" w:styleId="QuoteChar">
    <w:name w:val="Quote Char"/>
    <w:basedOn w:val="DefaultParagraphFont"/>
    <w:link w:val="Quote"/>
    <w:uiPriority w:val="29"/>
    <w:rsid w:val="005862B1"/>
    <w:rPr>
      <w:i/>
      <w:iCs/>
      <w:color w:val="404040" w:themeColor="text1" w:themeTint="BF"/>
    </w:rPr>
  </w:style>
  <w:style w:type="paragraph" w:styleId="ListParagraph">
    <w:name w:val="List Paragraph"/>
    <w:basedOn w:val="Normal"/>
    <w:uiPriority w:val="34"/>
    <w:qFormat/>
    <w:rsid w:val="005862B1"/>
    <w:pPr>
      <w:ind w:left="720"/>
      <w:contextualSpacing/>
    </w:pPr>
  </w:style>
  <w:style w:type="character" w:styleId="IntenseEmphasis">
    <w:name w:val="Intense Emphasis"/>
    <w:basedOn w:val="DefaultParagraphFont"/>
    <w:uiPriority w:val="21"/>
    <w:qFormat/>
    <w:rsid w:val="005862B1"/>
    <w:rPr>
      <w:i/>
      <w:iCs/>
      <w:color w:val="0F4761" w:themeColor="accent1" w:themeShade="BF"/>
    </w:rPr>
  </w:style>
  <w:style w:type="paragraph" w:styleId="IntenseQuote">
    <w:name w:val="Intense Quote"/>
    <w:basedOn w:val="Normal"/>
    <w:next w:val="Normal"/>
    <w:link w:val="IntenseQuoteChar"/>
    <w:uiPriority w:val="30"/>
    <w:qFormat/>
    <w:rsid w:val="00586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62B1"/>
    <w:rPr>
      <w:i/>
      <w:iCs/>
      <w:color w:val="0F4761" w:themeColor="accent1" w:themeShade="BF"/>
    </w:rPr>
  </w:style>
  <w:style w:type="character" w:styleId="IntenseReference">
    <w:name w:val="Intense Reference"/>
    <w:basedOn w:val="DefaultParagraphFont"/>
    <w:uiPriority w:val="32"/>
    <w:qFormat/>
    <w:rsid w:val="005862B1"/>
    <w:rPr>
      <w:b/>
      <w:bCs/>
      <w:smallCaps/>
      <w:color w:val="0F4761" w:themeColor="accent1" w:themeShade="BF"/>
      <w:spacing w:val="5"/>
    </w:rPr>
  </w:style>
  <w:style w:type="paragraph" w:styleId="FootnoteText">
    <w:name w:val="footnote text"/>
    <w:basedOn w:val="Normal"/>
    <w:link w:val="FootnoteTextChar"/>
    <w:uiPriority w:val="99"/>
    <w:semiHidden/>
    <w:unhideWhenUsed/>
    <w:rsid w:val="00CB66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617"/>
    <w:rPr>
      <w:sz w:val="20"/>
      <w:szCs w:val="20"/>
    </w:rPr>
  </w:style>
  <w:style w:type="character" w:styleId="FootnoteReference">
    <w:name w:val="footnote reference"/>
    <w:basedOn w:val="DefaultParagraphFont"/>
    <w:uiPriority w:val="99"/>
    <w:semiHidden/>
    <w:unhideWhenUsed/>
    <w:rsid w:val="00CB6617"/>
    <w:rPr>
      <w:vertAlign w:val="superscript"/>
    </w:rPr>
  </w:style>
  <w:style w:type="character" w:styleId="Hyperlink">
    <w:name w:val="Hyperlink"/>
    <w:basedOn w:val="DefaultParagraphFont"/>
    <w:uiPriority w:val="99"/>
    <w:unhideWhenUsed/>
    <w:rsid w:val="00FB47A8"/>
    <w:rPr>
      <w:color w:val="467886" w:themeColor="hyperlink"/>
      <w:u w:val="single"/>
    </w:rPr>
  </w:style>
  <w:style w:type="character" w:styleId="UnresolvedMention">
    <w:name w:val="Unresolved Mention"/>
    <w:basedOn w:val="DefaultParagraphFont"/>
    <w:uiPriority w:val="99"/>
    <w:semiHidden/>
    <w:unhideWhenUsed/>
    <w:rsid w:val="00FB47A8"/>
    <w:rPr>
      <w:color w:val="605E5C"/>
      <w:shd w:val="clear" w:color="auto" w:fill="E1DFDD"/>
    </w:rPr>
  </w:style>
  <w:style w:type="paragraph" w:styleId="Header">
    <w:name w:val="header"/>
    <w:basedOn w:val="Normal"/>
    <w:link w:val="HeaderChar"/>
    <w:uiPriority w:val="99"/>
    <w:unhideWhenUsed/>
    <w:rsid w:val="003C0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A87"/>
  </w:style>
  <w:style w:type="paragraph" w:styleId="Footer">
    <w:name w:val="footer"/>
    <w:basedOn w:val="Normal"/>
    <w:link w:val="FooterChar"/>
    <w:uiPriority w:val="99"/>
    <w:unhideWhenUsed/>
    <w:rsid w:val="003C0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A87"/>
  </w:style>
  <w:style w:type="character" w:styleId="CommentReference">
    <w:name w:val="annotation reference"/>
    <w:basedOn w:val="DefaultParagraphFont"/>
    <w:uiPriority w:val="99"/>
    <w:semiHidden/>
    <w:unhideWhenUsed/>
    <w:rsid w:val="00297F4D"/>
    <w:rPr>
      <w:sz w:val="16"/>
      <w:szCs w:val="16"/>
    </w:rPr>
  </w:style>
  <w:style w:type="paragraph" w:styleId="CommentText">
    <w:name w:val="annotation text"/>
    <w:basedOn w:val="Normal"/>
    <w:link w:val="CommentTextChar"/>
    <w:uiPriority w:val="99"/>
    <w:unhideWhenUsed/>
    <w:rsid w:val="00297F4D"/>
    <w:pPr>
      <w:spacing w:line="240" w:lineRule="auto"/>
    </w:pPr>
    <w:rPr>
      <w:sz w:val="20"/>
      <w:szCs w:val="20"/>
    </w:rPr>
  </w:style>
  <w:style w:type="character" w:customStyle="1" w:styleId="CommentTextChar">
    <w:name w:val="Comment Text Char"/>
    <w:basedOn w:val="DefaultParagraphFont"/>
    <w:link w:val="CommentText"/>
    <w:uiPriority w:val="99"/>
    <w:rsid w:val="00297F4D"/>
    <w:rPr>
      <w:sz w:val="20"/>
      <w:szCs w:val="20"/>
    </w:rPr>
  </w:style>
  <w:style w:type="paragraph" w:styleId="CommentSubject">
    <w:name w:val="annotation subject"/>
    <w:basedOn w:val="CommentText"/>
    <w:next w:val="CommentText"/>
    <w:link w:val="CommentSubjectChar"/>
    <w:uiPriority w:val="99"/>
    <w:semiHidden/>
    <w:unhideWhenUsed/>
    <w:rsid w:val="00297F4D"/>
    <w:rPr>
      <w:b/>
      <w:bCs/>
    </w:rPr>
  </w:style>
  <w:style w:type="character" w:customStyle="1" w:styleId="CommentSubjectChar">
    <w:name w:val="Comment Subject Char"/>
    <w:basedOn w:val="CommentTextChar"/>
    <w:link w:val="CommentSubject"/>
    <w:uiPriority w:val="99"/>
    <w:semiHidden/>
    <w:rsid w:val="00297F4D"/>
    <w:rPr>
      <w:b/>
      <w:bCs/>
      <w:sz w:val="20"/>
      <w:szCs w:val="20"/>
    </w:rPr>
  </w:style>
  <w:style w:type="paragraph" w:styleId="Revision">
    <w:name w:val="Revision"/>
    <w:hidden/>
    <w:uiPriority w:val="99"/>
    <w:semiHidden/>
    <w:rsid w:val="00AC2C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ourfinancialsecurity.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sec.gov/comments/s7-09-22/s70922-20128280-290826.pdf" TargetMode="External"/><Relationship Id="rId3" Type="http://schemas.openxmlformats.org/officeDocument/2006/relationships/hyperlink" Target="https://www.repository.law.indiana.edu/facpub/2162" TargetMode="External"/><Relationship Id="rId7" Type="http://schemas.openxmlformats.org/officeDocument/2006/relationships/hyperlink" Target="https://energycommerce.house.gov/posts/what-we-learned-change-healthcare-cyber-attack" TargetMode="External"/><Relationship Id="rId2" Type="http://schemas.openxmlformats.org/officeDocument/2006/relationships/hyperlink" Target="https://www.yalelawjournal.org/issue/issue/volume-124-issue-4-january-2015" TargetMode="External"/><Relationship Id="rId1" Type="http://schemas.openxmlformats.org/officeDocument/2006/relationships/hyperlink" Target="https://docs.house.gov/meetings/BA/BA00/20240516/117322/BILLS-118-HR8339-A000370-Amdt-5.pdf" TargetMode="External"/><Relationship Id="rId6" Type="http://schemas.openxmlformats.org/officeDocument/2006/relationships/hyperlink" Target="https://cybersecurityventures.com/cybercrime-damages-6-trillion-by-2021/" TargetMode="External"/><Relationship Id="rId5" Type="http://schemas.openxmlformats.org/officeDocument/2006/relationships/hyperlink" Target="https://www.sec.gov/news/statement/gensler-statement-cat-funding-090623" TargetMode="External"/><Relationship Id="rId4" Type="http://schemas.openxmlformats.org/officeDocument/2006/relationships/hyperlink" Target="https://catnmsplan.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6C8B1-B91F-4748-8C97-F665550AB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Canning</dc:creator>
  <cp:keywords/>
  <dc:description/>
  <cp:lastModifiedBy>Andrew Park</cp:lastModifiedBy>
  <cp:revision>4</cp:revision>
  <dcterms:created xsi:type="dcterms:W3CDTF">2024-05-16T04:11:00Z</dcterms:created>
  <dcterms:modified xsi:type="dcterms:W3CDTF">2024-05-16T12:26:00Z</dcterms:modified>
</cp:coreProperties>
</file>